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75791E" w14:textId="77777777" w:rsidR="00D81003" w:rsidRPr="00550E0C" w:rsidRDefault="00D81003" w:rsidP="00D81003">
      <w:pPr>
        <w:spacing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APPENDIX</w:t>
      </w:r>
    </w:p>
    <w:p w14:paraId="3DB44D83" w14:textId="77777777" w:rsidR="002C220B" w:rsidRDefault="002C220B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A)</w:t>
      </w:r>
    </w:p>
    <w:p w14:paraId="490E7DB8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1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γ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</m:oMath>
      </m:oMathPara>
    </w:p>
    <w:p w14:paraId="4BF9E199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1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β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γ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m:rPr>
              <m:nor/>
            </m:rP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val="en-US" w:eastAsia="it-IT"/>
            </w:rPr>
            <m:t> 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</m:oMath>
      </m:oMathPara>
    </w:p>
    <w:p w14:paraId="4C5077AF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4"/>
                  <w:szCs w:val="24"/>
                  <w:lang w:val="en-US"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γ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β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</m:oMath>
      </m:oMathPara>
    </w:p>
    <w:p w14:paraId="460C4AE4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+γ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</m:oMath>
      </m:oMathPara>
    </w:p>
    <w:p w14:paraId="60A1F042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β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</m:oMath>
      </m:oMathPara>
    </w:p>
    <w:p w14:paraId="3F8AEF3D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</m:oMath>
      </m:oMathPara>
    </w:p>
    <w:p w14:paraId="5008DA24" w14:textId="77777777" w:rsidR="002C220B" w:rsidRPr="002C220B" w:rsidRDefault="00EF36EF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dI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-γI.</m:t>
          </m:r>
        </m:oMath>
      </m:oMathPara>
    </w:p>
    <w:p w14:paraId="7EA56EE4" w14:textId="77777777" w:rsidR="002C220B" w:rsidRPr="002C220B" w:rsidRDefault="002C220B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2B9C1C89" w14:textId="77777777" w:rsidR="002C220B" w:rsidRDefault="002C220B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B)</w:t>
      </w:r>
    </w:p>
    <w:p w14:paraId="1EFF896A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1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γ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</m:oMath>
      </m:oMathPara>
    </w:p>
    <w:p w14:paraId="4C477296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1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β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γ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2</m:t>
              </m:r>
            </m:sub>
          </m:sSub>
          <m:r>
            <m:rPr>
              <m:nor/>
            </m:rP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val="en-US" w:eastAsia="it-IT"/>
            </w:rPr>
            <m:t> 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+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val="en-US"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3</m:t>
              </m:r>
            </m:sub>
          </m:sSub>
        </m:oMath>
      </m:oMathPara>
    </w:p>
    <w:p w14:paraId="6C03BE7B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1+c</m:t>
              </m:r>
            </m:den>
          </m:f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+γ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β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</m:oMath>
      </m:oMathPara>
    </w:p>
    <w:p w14:paraId="66AF544A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+γ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2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</m:oMath>
      </m:oMathPara>
    </w:p>
    <w:p w14:paraId="6F419264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S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β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</m:oMath>
      </m:oMathPara>
    </w:p>
    <w:p w14:paraId="4199FBAB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1-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β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S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γ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1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μ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+</m:t>
              </m:r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k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e>
          </m:d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E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N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color w:val="000000"/>
                      <w:sz w:val="24"/>
                      <w:szCs w:val="24"/>
                      <w:lang w:eastAsia="it-IT"/>
                    </w:rPr>
                    <m:t>3</m:t>
                  </m:r>
                </m:sub>
              </m:sSub>
            </m:den>
          </m:f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</m:oMath>
      </m:oMathPara>
    </w:p>
    <w:p w14:paraId="4B5893FB" w14:textId="77777777" w:rsidR="002C220B" w:rsidRPr="002C220B" w:rsidRDefault="00EF36EF" w:rsidP="002C220B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m:oMathPara>
        <m:oMathParaPr>
          <m:jc m:val="centerGroup"/>
        </m:oMathParaPr>
        <m:oMath>
          <m:f>
            <m:f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dI</m:t>
              </m:r>
            </m:num>
            <m:den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dt</m:t>
              </m:r>
            </m:den>
          </m:f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Λ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val="el-GR"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N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2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sSub>
            <m:sSub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E</m:t>
              </m:r>
            </m:e>
            <m:sub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3</m:t>
              </m:r>
            </m:sub>
          </m:sSub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-γI</m:t>
          </m:r>
        </m:oMath>
      </m:oMathPara>
    </w:p>
    <w:p w14:paraId="2031DB41" w14:textId="77777777" w:rsidR="002C220B" w:rsidRDefault="002C220B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</w:p>
    <w:p w14:paraId="33B502A3" w14:textId="588029EC" w:rsidR="00D81003" w:rsidRPr="00550E0C" w:rsidRDefault="002C220B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C)  </w:t>
      </w:r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To determine the Basic Reproductive Number of our model we applied the Next Generation Matrix technique illustrated by Heffernan </w:t>
      </w:r>
      <w:r w:rsidR="00D81003" w:rsidRPr="00E4379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it-IT"/>
        </w:rPr>
        <w:t>et al</w:t>
      </w:r>
      <w:r w:rsidR="00E4379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it-IT"/>
        </w:rPr>
        <w:t>.</w:t>
      </w:r>
      <w:r w:rsidR="00E4379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, 2005</w:t>
      </w:r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. Let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P=</m:t>
        </m:r>
        <m:sSup>
          <m:sSup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pPr>
          <m:e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,…,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p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7</m:t>
                        </m:r>
                      </m:sub>
                    </m:sSub>
                  </m:e>
                </m:d>
              </m:e>
              <m:sup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T</m:t>
                </m:r>
              </m:sup>
            </m:sSup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=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S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1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,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E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1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,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E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2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,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E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3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,I,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S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2</m:t>
                    </m:r>
                  </m:sub>
                </m:s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,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S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3</m:t>
                    </m:r>
                  </m:sub>
                </m:sSub>
              </m:e>
            </m:d>
          </m:e>
          <m:sup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sup>
        </m:sSup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be the number of individuals in each compartment of our model, the first </w:t>
      </w:r>
      <w:r w:rsidR="007F533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five</w:t>
      </w:r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components correspond to the portion of the population that can be infected or </w:t>
      </w:r>
      <w:r w:rsidR="00EF36E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who are </w:t>
      </w:r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in contact with infected individuals. If a state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0</m:t>
            </m:r>
          </m:sub>
        </m:sSub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exists so that the model is in a Disease-Free Equilibrium (DFE), the equations for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S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1</m:t>
            </m:r>
          </m:sub>
        </m:sSub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1</m:t>
            </m:r>
          </m:sub>
        </m:sSub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2</m:t>
            </m:r>
          </m:sub>
        </m:sSub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,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 xml:space="preserve"> 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E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3</m:t>
            </m:r>
          </m:sub>
        </m:sSub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, and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I</m:t>
        </m:r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decouple from the other equations. Let us consider all equations written in the form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fPr>
          <m:num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d</m:t>
            </m:r>
            <m:sSub>
              <m:sSub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P</m:t>
                </m:r>
              </m:e>
              <m:sub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i</m:t>
                </m:r>
              </m:sub>
            </m:sSub>
          </m:num>
          <m:den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dt</m:t>
            </m:r>
          </m:den>
        </m:f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cr m:val="script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i</m:t>
            </m:r>
          </m:sub>
        </m:sSub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-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cr m:val="script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V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i</m:t>
            </m:r>
          </m:sub>
        </m:sSub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for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1≤i≤5</m:t>
        </m:r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, where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cr m:val="script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F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i</m:t>
            </m:r>
          </m:sub>
        </m:sSub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describes the rate of appearance of new infections in compartment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i</m:t>
        </m:r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, and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cr m:val="script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V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i</m:t>
            </m:r>
          </m:sub>
        </m:sSub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is the rate of other transitions between compartment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i</m:t>
        </m:r>
      </m:oMath>
      <w:r w:rsidR="00D81003"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and the other compartments.</w:t>
      </w:r>
    </w:p>
    <w:p w14:paraId="4232FFA1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In our model the two matrices are:</w:t>
      </w:r>
    </w:p>
    <w:p w14:paraId="3985AA37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</w:pPr>
      <m:oMathPara>
        <m:oMath>
          <m:r>
            <m:rPr>
              <m:scr m:val="script"/>
            </m:rP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val="en-US"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m:rPr>
                        <m:nor/>
                      </m:rP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 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β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β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 xml:space="preserve">, </m:t>
          </m:r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and</m:t>
          </m:r>
        </m:oMath>
      </m:oMathPara>
    </w:p>
    <w:p w14:paraId="57DFDAF1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r>
            <m:rPr>
              <m:scr m:val="script"/>
            </m:rP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w:lastRenderedPageBreak/>
            <m:t>V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γ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μ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+β</m:t>
                        </m:r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</m:t>
                        </m:r>
                      </m:sub>
                    </m:sSub>
                  </m:e>
                </m:mr>
                <m:mr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γ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μ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-β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μ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-γ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</m:t>
                        </m:r>
                      </m:sub>
                    </m:sSub>
                  </m:e>
                </m:mr>
                <m:mr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μ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γI-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.</m:t>
          </m:r>
        </m:oMath>
      </m:oMathPara>
    </w:p>
    <w:p w14:paraId="41DF3D05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We can define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F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m:rPr>
                        <m:scr m:val="script"/>
                      </m:rP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F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i</m:t>
                    </m:r>
                  </m:sub>
                </m:sSub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t</m:t>
                    </m:r>
                  </m:e>
                </m:d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p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j</m:t>
                    </m:r>
                  </m:sub>
                </m:sSub>
              </m:den>
            </m:f>
          </m:e>
        </m:d>
      </m:oMath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and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V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m:rPr>
                        <m:scr m:val="script"/>
                      </m:rP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V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i</m:t>
                    </m:r>
                  </m:sub>
                </m:sSub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t</m:t>
                    </m:r>
                  </m:e>
                </m:d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p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j</m:t>
                    </m:r>
                  </m:sub>
                </m:sSub>
              </m:den>
            </m:f>
          </m:e>
        </m:d>
      </m:oMath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for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1≤i,j≤5</m:t>
        </m:r>
      </m:oMath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as:</w:t>
      </w:r>
    </w:p>
    <w:p w14:paraId="2C34D11E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5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, and</m:t>
          </m:r>
        </m:oMath>
      </m:oMathPara>
    </w:p>
    <w:p w14:paraId="01473FBF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</w:p>
    <w:p w14:paraId="25653FAE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V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5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γ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β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β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γ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2</m:t>
                                </m:r>
                              </m:sub>
                            </m:sSub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3</m:t>
                                </m:r>
                              </m:sub>
                            </m:s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3</m:t>
                                </m:r>
                              </m:sub>
                            </m:sSub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γ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2</m:t>
                                </m:r>
                              </m:sub>
                            </m:sSub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γ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3</m:t>
                                </m:r>
                              </m:sub>
                            </m:s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+</m:t>
                            </m:r>
                            <m:sSub>
                              <m:sSubPr>
                                <m:ctrlPr>
                                  <w:rPr>
                                    <w:rFonts w:ascii="Cambria Math" w:eastAsia="Times New Roman" w:hAnsi="Cambria Math" w:cs="Times New Roman"/>
                                    <w:i/>
                                    <w:iCs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eastAsia="it-IT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eastAsia="Times New Roman" w:hAnsi="Cambria Math" w:cs="Times New Roman"/>
                                    <w:color w:val="000000"/>
                                    <w:sz w:val="24"/>
                                    <w:szCs w:val="24"/>
                                    <w:lang w:val="en-US" w:eastAsia="it-IT"/>
                                  </w:rPr>
                                  <m:t>3</m:t>
                                </m:r>
                              </m:sub>
                            </m:sSub>
                          </m:e>
                        </m:d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-</m:t>
                    </m:r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γ</m:t>
                    </m:r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.</m:t>
          </m:r>
        </m:oMath>
      </m:oMathPara>
    </w:p>
    <w:p w14:paraId="3848C004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</w:pPr>
    </w:p>
    <w:p w14:paraId="59FB3B92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Therefore, given the Next Generation matrix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F</m:t>
        </m:r>
        <m:sSup>
          <m:sSup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V</m:t>
            </m:r>
          </m:e>
          <m:sup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-1</m:t>
            </m:r>
          </m:sup>
        </m:sSup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, the Basic Reproductive Number is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R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0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=ρ</m:t>
        </m:r>
        <m:d>
          <m:d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F</m:t>
            </m:r>
            <m:d>
              <m:dPr>
                <m:ctrlPr>
                  <w:rPr>
                    <w:rFonts w:ascii="Cambria Math" w:eastAsia="Times New Roman" w:hAnsi="Cambria Math" w:cs="Times New Roman"/>
                    <w:i/>
                    <w:iCs/>
                    <w:color w:val="000000"/>
                    <w:sz w:val="24"/>
                    <w:szCs w:val="24"/>
                    <w:lang w:val="en-US" w:eastAsia="it-IT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iCs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sub>
                </m:sSub>
              </m:e>
            </m:d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iCs/>
                    <w:color w:val="000000"/>
                    <w:sz w:val="24"/>
                    <w:szCs w:val="24"/>
                    <w:lang w:val="en-US" w:eastAsia="it-IT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V</m:t>
                </m:r>
              </m:e>
              <m:sup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-1</m:t>
                </m:r>
              </m:sup>
            </m:sSup>
            <m:d>
              <m:dPr>
                <m:ctrlPr>
                  <w:rPr>
                    <w:rFonts w:ascii="Cambria Math" w:eastAsia="Times New Roman" w:hAnsi="Cambria Math" w:cs="Times New Roman"/>
                    <w:i/>
                    <w:iCs/>
                    <w:color w:val="000000"/>
                    <w:sz w:val="24"/>
                    <w:szCs w:val="24"/>
                    <w:lang w:val="en-US" w:eastAsia="it-IT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iCs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x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sub>
                </m:sSub>
              </m:e>
            </m:d>
          </m:e>
        </m:d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, where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ρ</m:t>
        </m:r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 denotes the spectral radius of the matrix. For our model we determined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0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=(0,0,0,0,0,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2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,</m:t>
        </m:r>
        <m:sSub>
          <m:sSub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sSubPr>
          <m:e>
            <m:r>
              <m:rPr>
                <m:sty m:val="p"/>
              </m:rP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Λ</m:t>
            </m:r>
          </m:e>
          <m:sub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3</m:t>
            </m:r>
          </m:sub>
        </m:sSub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)</m:t>
        </m:r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>.</w:t>
      </w:r>
    </w:p>
    <w:p w14:paraId="16293798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For the model that considers </w:t>
      </w:r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the screening performed at the harbor, we only need to modify the </w:t>
      </w:r>
      <m:oMath>
        <m:r>
          <m:rPr>
            <m:scr m:val="script"/>
          </m:rP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F</m:t>
        </m:r>
        <m:d>
          <m:d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 xml:space="preserve"> matrix as:</w:t>
      </w:r>
    </w:p>
    <w:p w14:paraId="464676BE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m:oMathPara>
        <m:oMath>
          <m:r>
            <m:rPr>
              <m:scr m:val="script"/>
            </m:rP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w:lastRenderedPageBreak/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val="en-US"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val="en-US"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2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m:rPr>
                        <m:nor/>
                      </m:rPr>
                      <w:rPr>
                        <w:rFonts w:ascii="Times New Roman" w:eastAsia="Times New Roman" w:hAnsi="Times New Roman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 </m:t>
                    </m:r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E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</m:den>
                    </m:f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0</m:t>
                    </m:r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β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+</m:t>
                    </m:r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1-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val="en-US" w:eastAsia="it-IT"/>
                              </w:rPr>
                              <m:t>3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val="el-GR"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E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β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val="el-GR"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val="en-US" w:eastAsia="it-IT"/>
                          </w:rPr>
                          <m:t>3</m:t>
                        </m:r>
                      </m:sub>
                    </m:sSub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val="en-US" w:eastAsia="it-IT"/>
            </w:rPr>
            <m:t>.</m:t>
          </m:r>
        </m:oMath>
      </m:oMathPara>
    </w:p>
    <w:p w14:paraId="18463D87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</w:p>
    <w:p w14:paraId="59B32A1A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Thus, we need to modify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F</m:t>
        </m:r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t</m:t>
            </m:r>
          </m:e>
        </m:d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=</m:t>
        </m:r>
        <m:d>
          <m:dPr>
            <m:begChr m:val="["/>
            <m:endChr m:val="]"/>
            <m:ctrlPr>
              <w:rPr>
                <w:rFonts w:ascii="Cambria Math" w:eastAsia="Times New Roman" w:hAnsi="Cambria Math" w:cs="Times New Roman"/>
                <w:i/>
                <w:color w:val="000000"/>
                <w:sz w:val="24"/>
                <w:szCs w:val="24"/>
                <w:lang w:val="en-US" w:eastAsia="it-IT"/>
              </w:rPr>
            </m:ctrlPr>
          </m:d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4"/>
                    <w:szCs w:val="24"/>
                    <w:lang w:val="en-US" w:eastAsia="it-IT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m:rPr>
                        <m:scr m:val="script"/>
                      </m:rP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F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i</m:t>
                    </m:r>
                  </m:sub>
                </m:sSub>
                <m:d>
                  <m:d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t</m:t>
                    </m:r>
                  </m:e>
                </m:d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4"/>
                    <w:szCs w:val="24"/>
                    <w:lang w:val="en-US" w:eastAsia="it-IT"/>
                  </w:rPr>
                  <m:t>∂</m:t>
                </m:r>
                <m:sSub>
                  <m:sSubPr>
                    <m:ctrlPr>
                      <w:rPr>
                        <w:rFonts w:ascii="Cambria Math" w:eastAsia="Times New Roman" w:hAnsi="Cambria Math" w:cs="Times New Roman"/>
                        <w:i/>
                        <w:color w:val="000000"/>
                        <w:sz w:val="24"/>
                        <w:szCs w:val="24"/>
                        <w:lang w:val="en-US" w:eastAsia="it-IT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p</m:t>
                    </m:r>
                  </m:e>
                  <m:sub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val="en-US" w:eastAsia="it-IT"/>
                      </w:rPr>
                      <m:t>j</m:t>
                    </m:r>
                  </m:sub>
                </m:sSub>
              </m:den>
            </m:f>
          </m:e>
        </m:d>
      </m:oMath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for 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>1≤i,j≤5</m:t>
        </m:r>
      </m:oMath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 xml:space="preserve"> as:</w:t>
      </w:r>
    </w:p>
    <w:p w14:paraId="4962FAEA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</w:pPr>
      <m:oMathPara>
        <m:oMath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F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r>
                <w:rPr>
                  <w:rFonts w:ascii="Cambria Math" w:eastAsia="Times New Roman" w:hAnsi="Cambria Math" w:cs="Times New Roman"/>
                  <w:color w:val="000000"/>
                  <w:sz w:val="24"/>
                  <w:szCs w:val="24"/>
                  <w:lang w:eastAsia="it-IT"/>
                </w:rPr>
                <m:t>t</m:t>
              </m:r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iCs/>
                  <w:color w:val="000000"/>
                  <w:sz w:val="24"/>
                  <w:szCs w:val="24"/>
                  <w:lang w:eastAsia="it-IT"/>
                </w:rPr>
              </m:ctrlPr>
            </m:dPr>
            <m:e>
              <m:m>
                <m:mPr>
                  <m:mcs>
                    <m:mc>
                      <m:mcPr>
                        <m:count m:val="5"/>
                        <m:mcJc m:val="center"/>
                      </m:mcPr>
                    </m:mc>
                  </m:mcs>
                  <m:ctrlPr>
                    <w:rPr>
                      <w:rFonts w:ascii="Cambria Math" w:eastAsia="Times New Roman" w:hAnsi="Cambria Math" w:cs="Times New Roman"/>
                      <w:i/>
                      <w:iCs/>
                      <w:color w:val="000000"/>
                      <w:sz w:val="24"/>
                      <w:szCs w:val="24"/>
                      <w:lang w:eastAsia="it-IT"/>
                    </w:rPr>
                  </m:ctrlPr>
                </m:mP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f>
                      <m:f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b>
                        </m:sSub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sSubSup>
                          <m:sSubSup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  <m:sup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2</m:t>
                            </m:r>
                          </m:sup>
                        </m:sSubSup>
                      </m:den>
                    </m:f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d>
                      <m:d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d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1-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 w:cs="Times New Roman"/>
                                <w:i/>
                                <w:iCs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k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 w:cs="Times New Roman"/>
                                <w:color w:val="000000"/>
                                <w:sz w:val="24"/>
                                <w:szCs w:val="24"/>
                                <w:lang w:eastAsia="it-IT"/>
                              </w:rPr>
                              <m:t>3</m:t>
                            </m:r>
                          </m:sub>
                        </m:sSub>
                      </m:e>
                    </m:d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  <m:mr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  <m:e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i/>
                            <w:iCs/>
                            <w:color w:val="000000"/>
                            <w:sz w:val="24"/>
                            <w:szCs w:val="24"/>
                            <w:lang w:eastAsia="it-IT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="Times New Roman" w:hAnsi="Cambria Math" w:cs="Times New Roman"/>
                            <w:color w:val="000000"/>
                            <w:sz w:val="24"/>
                            <w:szCs w:val="24"/>
                            <w:lang w:eastAsia="it-IT"/>
                          </w:rPr>
                          <m:t>3</m:t>
                        </m:r>
                      </m:sub>
                    </m:sSub>
                  </m:e>
                  <m:e>
                    <m:r>
                      <w:rPr>
                        <w:rFonts w:ascii="Cambria Math" w:eastAsia="Times New Roman" w:hAnsi="Cambria Math" w:cs="Times New Roman"/>
                        <w:color w:val="000000"/>
                        <w:sz w:val="24"/>
                        <w:szCs w:val="24"/>
                        <w:lang w:eastAsia="it-IT"/>
                      </w:rPr>
                      <m:t>0</m:t>
                    </m:r>
                  </m:e>
                </m:mr>
              </m:m>
            </m:e>
          </m:d>
          <m:r>
            <w:rPr>
              <w:rFonts w:ascii="Cambria Math" w:eastAsia="Times New Roman" w:hAnsi="Cambria Math" w:cs="Times New Roman"/>
              <w:color w:val="000000"/>
              <w:sz w:val="24"/>
              <w:szCs w:val="24"/>
              <w:lang w:eastAsia="it-IT"/>
            </w:rPr>
            <m:t>.</m:t>
          </m:r>
        </m:oMath>
      </m:oMathPara>
    </w:p>
    <w:p w14:paraId="7540CA2E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</w:p>
    <w:p w14:paraId="51994B7C" w14:textId="77777777" w:rsidR="00D81003" w:rsidRPr="00550E0C" w:rsidRDefault="00D81003" w:rsidP="00D81003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 w:rsidRPr="00550E0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Finally, we can determine the Basic Reproductive Number using the previously described computation on the Next Generation matrix</w:t>
      </w:r>
      <m:oMath>
        <m:r>
          <w:rPr>
            <w:rFonts w:ascii="Cambria Math" w:eastAsia="Times New Roman" w:hAnsi="Cambria Math" w:cs="Times New Roman"/>
            <w:color w:val="000000"/>
            <w:sz w:val="24"/>
            <w:szCs w:val="24"/>
            <w:lang w:val="en-US" w:eastAsia="it-IT"/>
          </w:rPr>
          <m:t xml:space="preserve"> F</m:t>
        </m:r>
        <m:sSup>
          <m:sSupPr>
            <m:ctrlPr>
              <w:rPr>
                <w:rFonts w:ascii="Cambria Math" w:eastAsia="Times New Roman" w:hAnsi="Cambria Math" w:cs="Times New Roman"/>
                <w:i/>
                <w:iCs/>
                <w:color w:val="000000"/>
                <w:sz w:val="24"/>
                <w:szCs w:val="24"/>
                <w:lang w:val="en-US" w:eastAsia="it-IT"/>
              </w:rPr>
            </m:ctrlPr>
          </m:sSupPr>
          <m:e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V</m:t>
            </m:r>
          </m:e>
          <m:sup>
            <m:r>
              <w:rPr>
                <w:rFonts w:ascii="Cambria Math" w:eastAsia="Times New Roman" w:hAnsi="Cambria Math" w:cs="Times New Roman"/>
                <w:color w:val="000000"/>
                <w:sz w:val="24"/>
                <w:szCs w:val="24"/>
                <w:lang w:val="en-US" w:eastAsia="it-IT"/>
              </w:rPr>
              <m:t>-1</m:t>
            </m:r>
          </m:sup>
        </m:sSup>
      </m:oMath>
      <w:r w:rsidRPr="00550E0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en-US" w:eastAsia="it-IT"/>
        </w:rPr>
        <w:t>.</w:t>
      </w:r>
    </w:p>
    <w:p w14:paraId="00F1A8CC" w14:textId="77777777" w:rsidR="00D81003" w:rsidRPr="00550E0C" w:rsidRDefault="00D81003" w:rsidP="00D81003">
      <w:pPr>
        <w:spacing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</w:p>
    <w:p w14:paraId="51E537EE" w14:textId="77777777" w:rsidR="00D81003" w:rsidRPr="00550E0C" w:rsidRDefault="00D81003" w:rsidP="00D81003">
      <w:pPr>
        <w:spacing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it-IT"/>
        </w:rPr>
        <w:t>REFERENCE</w:t>
      </w:r>
    </w:p>
    <w:p w14:paraId="619F8A8A" w14:textId="77777777" w:rsidR="002521D5" w:rsidRPr="00D81003" w:rsidRDefault="00D81003" w:rsidP="00D8100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0E0C">
        <w:rPr>
          <w:rFonts w:ascii="Times New Roman" w:hAnsi="Times New Roman" w:cs="Times New Roman"/>
          <w:sz w:val="24"/>
          <w:szCs w:val="24"/>
          <w:lang w:val="en-US"/>
        </w:rPr>
        <w:t xml:space="preserve">Heffernan JM, Smith RJ, Wahl LM. Perspectives on the basic reproductive ratio. </w:t>
      </w:r>
      <w:r w:rsidR="00E43799" w:rsidRPr="00E43799">
        <w:rPr>
          <w:rFonts w:ascii="Times New Roman" w:hAnsi="Times New Roman" w:cs="Times New Roman"/>
          <w:sz w:val="24"/>
          <w:szCs w:val="24"/>
        </w:rPr>
        <w:t>J. R. Soc. Interface</w:t>
      </w:r>
      <w:r w:rsidRPr="00550E0C">
        <w:rPr>
          <w:rFonts w:ascii="Times New Roman" w:hAnsi="Times New Roman" w:cs="Times New Roman"/>
          <w:sz w:val="24"/>
          <w:szCs w:val="24"/>
          <w:lang w:val="en-US"/>
        </w:rPr>
        <w:t>. 2005 Jun 7;2(4):281-93.</w:t>
      </w:r>
    </w:p>
    <w:sectPr w:rsidR="002521D5" w:rsidRPr="00D81003" w:rsidSect="002C22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003"/>
    <w:rsid w:val="002521D5"/>
    <w:rsid w:val="002C220B"/>
    <w:rsid w:val="007F5336"/>
    <w:rsid w:val="00AE5123"/>
    <w:rsid w:val="00D81003"/>
    <w:rsid w:val="00E43799"/>
    <w:rsid w:val="00EF3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83124"/>
  <w15:chartTrackingRefBased/>
  <w15:docId w15:val="{F935EEF4-3540-4E43-9AF0-A0C720578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10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D81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Alessio Pampaloni</dc:creator>
  <cp:keywords/>
  <dc:description/>
  <cp:lastModifiedBy>Prof Whit</cp:lastModifiedBy>
  <cp:revision>3</cp:revision>
  <dcterms:created xsi:type="dcterms:W3CDTF">2021-03-23T18:28:00Z</dcterms:created>
  <dcterms:modified xsi:type="dcterms:W3CDTF">2021-03-23T18:29:00Z</dcterms:modified>
</cp:coreProperties>
</file>