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F816D7" w:rsidR="00ED78DB" w:rsidP="00F816D7" w:rsidRDefault="00ED78DB" w14:paraId="1CE5D18B" w14:textId="59E5B534">
      <w:pPr>
        <w:ind w:firstLine="284"/>
        <w:rPr>
          <w:rFonts w:ascii="Times New Roman" w:hAnsi="Times New Roman" w:cs="Times New Roman"/>
          <w:smallCaps/>
          <w:sz w:val="32"/>
          <w:szCs w:val="24"/>
        </w:rPr>
      </w:pPr>
    </w:p>
    <w:p w:rsidR="00F816D7" w:rsidP="00F816D7" w:rsidRDefault="00F816D7" w14:paraId="429CC345" w14:textId="14BAD619">
      <w:pPr>
        <w:jc w:val="center"/>
        <w:rPr>
          <w:rFonts w:ascii="Times New Roman" w:hAnsi="Times New Roman" w:cs="Times New Roman"/>
          <w:sz w:val="32"/>
          <w:szCs w:val="24"/>
        </w:rPr>
      </w:pPr>
      <w:r w:rsidRPr="00F816D7">
        <w:rPr>
          <w:rFonts w:ascii="Times New Roman" w:hAnsi="Times New Roman" w:cs="Times New Roman"/>
          <w:sz w:val="32"/>
          <w:szCs w:val="24"/>
        </w:rPr>
        <w:t>Antonio Sichera</w:t>
      </w:r>
    </w:p>
    <w:p w:rsidRPr="00F816D7" w:rsidR="00F816D7" w:rsidP="00F816D7" w:rsidRDefault="00F816D7" w14:paraId="5EB43C65" w14:textId="77777777">
      <w:pPr>
        <w:jc w:val="center"/>
        <w:rPr>
          <w:rFonts w:ascii="Times New Roman" w:hAnsi="Times New Roman" w:cs="Times New Roman"/>
          <w:sz w:val="32"/>
          <w:szCs w:val="24"/>
        </w:rPr>
      </w:pPr>
    </w:p>
    <w:p w:rsidR="00F816D7" w:rsidP="00F816D7" w:rsidRDefault="1681868D" w14:paraId="1B25D075" w14:textId="60352456">
      <w:pPr>
        <w:jc w:val="center"/>
        <w:rPr>
          <w:rFonts w:ascii="Times New Roman" w:hAnsi="Times New Roman" w:cs="Times New Roman"/>
          <w:sz w:val="36"/>
          <w:szCs w:val="36"/>
        </w:rPr>
      </w:pPr>
      <w:r w:rsidRPr="1681868D">
        <w:rPr>
          <w:rFonts w:ascii="Times New Roman" w:hAnsi="Times New Roman" w:cs="Times New Roman"/>
          <w:sz w:val="36"/>
          <w:szCs w:val="36"/>
        </w:rPr>
        <w:t>Per l’anniversario di «Oblio»</w:t>
      </w:r>
    </w:p>
    <w:p w:rsidR="00F816D7" w:rsidP="70EE4952" w:rsidRDefault="00F816D7" w14:paraId="4E4E9AE0" w14:textId="3898666E">
      <w:pPr>
        <w:jc w:val="center"/>
        <w:rPr>
          <w:rFonts w:ascii="Times New Roman" w:hAnsi="Times New Roman" w:cs="Times New Roman"/>
          <w:sz w:val="28"/>
          <w:szCs w:val="28"/>
        </w:rPr>
      </w:pPr>
    </w:p>
    <w:p w:rsidR="00F816D7" w:rsidP="70EE4952" w:rsidRDefault="00F816D7" w14:paraId="499E68BF" w14:textId="5D25389C">
      <w:pPr>
        <w:jc w:val="center"/>
        <w:rPr>
          <w:rFonts w:ascii="Times New Roman" w:hAnsi="Times New Roman" w:cs="Times New Roman"/>
          <w:sz w:val="28"/>
          <w:szCs w:val="28"/>
        </w:rPr>
      </w:pPr>
    </w:p>
    <w:p w:rsidRPr="00F816D7" w:rsidR="00F816D7" w:rsidP="70EE4952" w:rsidRDefault="00F816D7" w14:paraId="77F98E9D" w14:textId="77777777">
      <w:pPr>
        <w:jc w:val="center"/>
        <w:rPr>
          <w:rFonts w:ascii="Times New Roman" w:hAnsi="Times New Roman" w:cs="Times New Roman"/>
          <w:sz w:val="28"/>
          <w:szCs w:val="28"/>
        </w:rPr>
      </w:pPr>
    </w:p>
    <w:p w:rsidRPr="00F816D7" w:rsidR="002C7A99" w:rsidP="00F816D7" w:rsidRDefault="1681868D" w14:paraId="01C28B06" w14:textId="115E4A44">
      <w:pPr>
        <w:rPr>
          <w:rFonts w:ascii="Times New Roman" w:hAnsi="Times New Roman" w:cs="Times New Roman"/>
          <w:sz w:val="28"/>
          <w:szCs w:val="28"/>
        </w:rPr>
      </w:pPr>
      <w:r w:rsidRPr="70EE4952" w:rsidR="70EE4952">
        <w:rPr>
          <w:rFonts w:ascii="Times New Roman" w:hAnsi="Times New Roman" w:cs="Times New Roman"/>
          <w:sz w:val="28"/>
          <w:szCs w:val="28"/>
        </w:rPr>
        <w:t>Festeggiare una rivista – tra l’altro fresca d</w:t>
      </w:r>
      <w:r w:rsidRPr="70EE4952" w:rsidR="70EE4952">
        <w:rPr>
          <w:rFonts w:ascii="Times New Roman" w:hAnsi="Times New Roman" w:cs="Times New Roman"/>
          <w:sz w:val="28"/>
          <w:szCs w:val="28"/>
        </w:rPr>
        <w:t xml:space="preserve">i classe A – come «Oblio» è certamente una bella occasione, ma farlo ragionando opportunamente sull’oblio in quanto tale può generare pensieri non privi di significato per noi e per il nostro tempo. Quella di “oblio” sembra infatti a prima vista una categoria ormai remota, appoggiata com’è su una parola uscita negli anni più recenti dall’uso e dalla comprensione comune. A ciò si aggiunge uno specifico </w:t>
      </w:r>
      <w:proofErr w:type="spellStart"/>
      <w:r w:rsidRPr="70EE4952" w:rsidR="70EE4952">
        <w:rPr>
          <w:rFonts w:ascii="Times New Roman" w:hAnsi="Times New Roman" w:cs="Times New Roman"/>
          <w:i w:val="1"/>
          <w:iCs w:val="1"/>
          <w:sz w:val="28"/>
          <w:szCs w:val="28"/>
        </w:rPr>
        <w:t>sensus</w:t>
      </w:r>
      <w:proofErr w:type="spellEnd"/>
      <w:r w:rsidRPr="70EE4952" w:rsidR="70EE4952">
        <w:rPr>
          <w:rFonts w:ascii="Times New Roman" w:hAnsi="Times New Roman" w:cs="Times New Roman"/>
          <w:i w:val="1"/>
          <w:iCs w:val="1"/>
          <w:sz w:val="28"/>
          <w:szCs w:val="28"/>
        </w:rPr>
        <w:t xml:space="preserve"> linguae </w:t>
      </w:r>
      <w:r w:rsidRPr="70EE4952" w:rsidR="70EE4952">
        <w:rPr>
          <w:rFonts w:ascii="Times New Roman" w:hAnsi="Times New Roman" w:cs="Times New Roman"/>
          <w:sz w:val="28"/>
          <w:szCs w:val="28"/>
        </w:rPr>
        <w:t xml:space="preserve">che conferisce al lemma “oblio” una connotazione ben più forte (e letteraria) della semplice dimenticanza. Oblio allude infatti a un movimento verso lo scolorire, verso l’impallidire, che pare avere i contorni dell’irrevocabilità. Come se dalla dimenticanza si potesse riemergere, dall’oblio no. </w:t>
      </w:r>
    </w:p>
    <w:p w:rsidRPr="00F816D7" w:rsidR="0070705F" w:rsidP="00F816D7" w:rsidRDefault="00ED78DB" w14:paraId="16A5E9E7" w14:textId="35BF2A32">
      <w:pPr>
        <w:rPr>
          <w:rFonts w:ascii="Times New Roman" w:hAnsi="Times New Roman" w:cs="Times New Roman"/>
          <w:sz w:val="28"/>
          <w:szCs w:val="24"/>
        </w:rPr>
      </w:pPr>
      <w:r w:rsidRPr="00F816D7">
        <w:rPr>
          <w:rFonts w:ascii="Times New Roman" w:hAnsi="Times New Roman" w:cs="Times New Roman"/>
          <w:sz w:val="28"/>
          <w:szCs w:val="24"/>
        </w:rPr>
        <w:t>Non c’è dubbio che</w:t>
      </w:r>
      <w:r w:rsidRPr="00F816D7" w:rsidR="00290A12">
        <w:rPr>
          <w:rFonts w:ascii="Times New Roman" w:hAnsi="Times New Roman" w:cs="Times New Roman"/>
          <w:sz w:val="28"/>
          <w:szCs w:val="24"/>
        </w:rPr>
        <w:t xml:space="preserve"> la funzione dell</w:t>
      </w:r>
      <w:r w:rsidRPr="00F816D7">
        <w:rPr>
          <w:rFonts w:ascii="Times New Roman" w:hAnsi="Times New Roman" w:cs="Times New Roman"/>
          <w:sz w:val="28"/>
          <w:szCs w:val="24"/>
        </w:rPr>
        <w:t>’uscir fuori di mente</w:t>
      </w:r>
      <w:r w:rsidRPr="00F816D7" w:rsidR="00290A12">
        <w:rPr>
          <w:rFonts w:ascii="Times New Roman" w:hAnsi="Times New Roman" w:cs="Times New Roman"/>
          <w:sz w:val="28"/>
          <w:szCs w:val="24"/>
        </w:rPr>
        <w:t xml:space="preserve">, almeno dal punto di vista dell’organismo </w:t>
      </w:r>
      <w:r w:rsidRPr="00F816D7" w:rsidR="003E2AF1">
        <w:rPr>
          <w:rFonts w:ascii="Times New Roman" w:hAnsi="Times New Roman" w:cs="Times New Roman"/>
          <w:sz w:val="28"/>
          <w:szCs w:val="24"/>
        </w:rPr>
        <w:t>e della sua crescita</w:t>
      </w:r>
      <w:r w:rsidRPr="00F816D7">
        <w:rPr>
          <w:rFonts w:ascii="Times New Roman" w:hAnsi="Times New Roman" w:cs="Times New Roman"/>
          <w:sz w:val="28"/>
          <w:szCs w:val="24"/>
        </w:rPr>
        <w:t>, sia</w:t>
      </w:r>
      <w:r w:rsidRPr="00F816D7" w:rsidR="003E2AF1">
        <w:rPr>
          <w:rFonts w:ascii="Times New Roman" w:hAnsi="Times New Roman" w:cs="Times New Roman"/>
          <w:sz w:val="28"/>
          <w:szCs w:val="24"/>
        </w:rPr>
        <w:t xml:space="preserve"> fondamentale.</w:t>
      </w:r>
      <w:r w:rsidRPr="00F816D7">
        <w:rPr>
          <w:rFonts w:ascii="Times New Roman" w:hAnsi="Times New Roman" w:cs="Times New Roman"/>
          <w:sz w:val="28"/>
          <w:szCs w:val="24"/>
        </w:rPr>
        <w:t xml:space="preserve"> Abbiamo bisogno di assimilare e dunque di dimenticare per crescere. Quel che accade al confine di contatto tra l’organismo e l’ambiente si scrive nel corpo e diventa </w:t>
      </w:r>
      <w:r w:rsidRPr="00F816D7">
        <w:rPr>
          <w:rFonts w:ascii="Times New Roman" w:hAnsi="Times New Roman" w:cs="Times New Roman"/>
          <w:i/>
          <w:iCs/>
          <w:sz w:val="28"/>
          <w:szCs w:val="24"/>
        </w:rPr>
        <w:t xml:space="preserve">habitus </w:t>
      </w:r>
      <w:r w:rsidRPr="00F816D7">
        <w:rPr>
          <w:rFonts w:ascii="Times New Roman" w:hAnsi="Times New Roman" w:cs="Times New Roman"/>
          <w:sz w:val="28"/>
          <w:szCs w:val="24"/>
        </w:rPr>
        <w:t>inconsapevole, sempre disponibile però, quando fosse necessario, a essere riattivato e riportato al linguaggio, se l’esperienza è stata fluida e nutriente. Diverso il caso del contatto irrisolto, disfunzionale, del confine ferito, sulla cui linea</w:t>
      </w:r>
      <w:r w:rsidRPr="00F816D7" w:rsidR="0070705F">
        <w:rPr>
          <w:rFonts w:ascii="Times New Roman" w:hAnsi="Times New Roman" w:cs="Times New Roman"/>
          <w:sz w:val="28"/>
          <w:szCs w:val="24"/>
        </w:rPr>
        <w:t xml:space="preserve"> – fenomenologicamente sul ‘tra-esserci’ mondano (Kimura-Salonia) – </w:t>
      </w:r>
      <w:r w:rsidRPr="00F816D7">
        <w:rPr>
          <w:rFonts w:ascii="Times New Roman" w:hAnsi="Times New Roman" w:cs="Times New Roman"/>
          <w:sz w:val="28"/>
          <w:szCs w:val="24"/>
        </w:rPr>
        <w:t xml:space="preserve">accadono scambi ineguali, nocivi, al limite traumatici, che modificano lo schema corporeo in maniera profonda ma irrecuperabile, perché il desiderio è rimasto insoddisfatto (e resta vivo), mentre </w:t>
      </w:r>
      <w:r w:rsidRPr="00F816D7" w:rsidR="001122AD">
        <w:rPr>
          <w:rFonts w:ascii="Times New Roman" w:hAnsi="Times New Roman" w:cs="Times New Roman"/>
          <w:sz w:val="28"/>
          <w:szCs w:val="24"/>
        </w:rPr>
        <w:t>il segno nel corpo affonda nell’oblio (</w:t>
      </w:r>
      <w:r w:rsidRPr="00F816D7" w:rsidR="00E31549">
        <w:rPr>
          <w:rFonts w:ascii="Times New Roman" w:hAnsi="Times New Roman" w:cs="Times New Roman"/>
          <w:sz w:val="28"/>
          <w:szCs w:val="24"/>
        </w:rPr>
        <w:t xml:space="preserve">la parola tecnica è quella di Freud: </w:t>
      </w:r>
      <w:r w:rsidRPr="00F816D7" w:rsidR="001122AD">
        <w:rPr>
          <w:rFonts w:ascii="Times New Roman" w:hAnsi="Times New Roman" w:cs="Times New Roman"/>
          <w:sz w:val="28"/>
          <w:szCs w:val="24"/>
        </w:rPr>
        <w:t>rimozione</w:t>
      </w:r>
      <w:r w:rsidRPr="00F816D7" w:rsidR="00E31549">
        <w:rPr>
          <w:rFonts w:ascii="Times New Roman" w:hAnsi="Times New Roman" w:cs="Times New Roman"/>
          <w:sz w:val="28"/>
          <w:szCs w:val="24"/>
        </w:rPr>
        <w:t>, ma in senso relazionale, non intrapsichico</w:t>
      </w:r>
      <w:r w:rsidRPr="00F816D7" w:rsidR="001122AD">
        <w:rPr>
          <w:rFonts w:ascii="Times New Roman" w:hAnsi="Times New Roman" w:cs="Times New Roman"/>
          <w:sz w:val="28"/>
          <w:szCs w:val="24"/>
        </w:rPr>
        <w:t>), e cioè in un buco nero da cui solo il sintomo potrà trarlo fuori come un appello alla relazione. L’oblio sembra collocarsi</w:t>
      </w:r>
      <w:r w:rsidRPr="00F816D7" w:rsidR="0070705F">
        <w:rPr>
          <w:rFonts w:ascii="Times New Roman" w:hAnsi="Times New Roman" w:cs="Times New Roman"/>
          <w:sz w:val="28"/>
          <w:szCs w:val="24"/>
        </w:rPr>
        <w:t>,</w:t>
      </w:r>
      <w:r w:rsidRPr="00F816D7" w:rsidR="001122AD">
        <w:rPr>
          <w:rFonts w:ascii="Times New Roman" w:hAnsi="Times New Roman" w:cs="Times New Roman"/>
          <w:sz w:val="28"/>
          <w:szCs w:val="24"/>
        </w:rPr>
        <w:t xml:space="preserve"> sul piano psico-evolutivo in chiave gestaltica</w:t>
      </w:r>
      <w:r w:rsidRPr="00F816D7" w:rsidR="0070705F">
        <w:rPr>
          <w:rFonts w:ascii="Times New Roman" w:hAnsi="Times New Roman" w:cs="Times New Roman"/>
          <w:sz w:val="28"/>
          <w:szCs w:val="24"/>
        </w:rPr>
        <w:t>, dal lato cioè di Perls e Goodman,</w:t>
      </w:r>
      <w:r w:rsidRPr="00F816D7" w:rsidR="001122AD">
        <w:rPr>
          <w:rFonts w:ascii="Times New Roman" w:hAnsi="Times New Roman" w:cs="Times New Roman"/>
          <w:sz w:val="28"/>
          <w:szCs w:val="24"/>
        </w:rPr>
        <w:t xml:space="preserve"> dal lato del rimosso e del potenzialmente patologico</w:t>
      </w:r>
      <w:r w:rsidRPr="00F816D7" w:rsidR="0070705F">
        <w:rPr>
          <w:rFonts w:ascii="Times New Roman" w:hAnsi="Times New Roman" w:cs="Times New Roman"/>
          <w:sz w:val="28"/>
          <w:szCs w:val="24"/>
        </w:rPr>
        <w:t>,</w:t>
      </w:r>
      <w:r w:rsidRPr="00F816D7" w:rsidR="001122AD">
        <w:rPr>
          <w:rFonts w:ascii="Times New Roman" w:hAnsi="Times New Roman" w:cs="Times New Roman"/>
          <w:sz w:val="28"/>
          <w:szCs w:val="24"/>
        </w:rPr>
        <w:t xml:space="preserve"> proprio in virtù del suo senso di perdita più radicale e drammatica del puro uscir di mente.</w:t>
      </w:r>
    </w:p>
    <w:p w:rsidRPr="00F816D7" w:rsidR="00814113" w:rsidP="00F816D7" w:rsidRDefault="0070705F" w14:paraId="6287006B" w14:textId="280E7A88">
      <w:pPr>
        <w:rPr>
          <w:rFonts w:ascii="Times New Roman" w:hAnsi="Times New Roman" w:cs="Times New Roman"/>
          <w:sz w:val="28"/>
          <w:szCs w:val="24"/>
        </w:rPr>
      </w:pPr>
      <w:r w:rsidRPr="00F816D7">
        <w:rPr>
          <w:rFonts w:ascii="Times New Roman" w:hAnsi="Times New Roman" w:cs="Times New Roman"/>
          <w:sz w:val="28"/>
          <w:szCs w:val="24"/>
        </w:rPr>
        <w:t>Certo, non si tratta di un’accezione univoca. Se guardiamo al nostro tema dal punto di vista della filosofia, sappiamo bene come nel pensiero nietzscheano il filosofo di R</w:t>
      </w:r>
      <w:r w:rsidRPr="00F816D7" w:rsidR="002C7A99">
        <w:rPr>
          <w:rFonts w:ascii="Times New Roman" w:hAnsi="Times New Roman" w:cs="Times New Roman"/>
          <w:sz w:val="28"/>
          <w:szCs w:val="24"/>
        </w:rPr>
        <w:t>ö</w:t>
      </w:r>
      <w:r w:rsidRPr="00F816D7">
        <w:rPr>
          <w:rFonts w:ascii="Times New Roman" w:hAnsi="Times New Roman" w:cs="Times New Roman"/>
          <w:sz w:val="28"/>
          <w:szCs w:val="24"/>
        </w:rPr>
        <w:t>cken sostenga in maniera forte e convinta la positività dell’oblio, inteso come dimenticanza salutare, come liberazione indispensabile dal peso del ricor</w:t>
      </w:r>
      <w:r w:rsidRPr="00F816D7" w:rsidR="00814113">
        <w:rPr>
          <w:rFonts w:ascii="Times New Roman" w:hAnsi="Times New Roman" w:cs="Times New Roman"/>
          <w:sz w:val="28"/>
          <w:szCs w:val="24"/>
        </w:rPr>
        <w:t>d</w:t>
      </w:r>
      <w:r w:rsidRPr="00F816D7">
        <w:rPr>
          <w:rFonts w:ascii="Times New Roman" w:hAnsi="Times New Roman" w:cs="Times New Roman"/>
          <w:sz w:val="28"/>
          <w:szCs w:val="24"/>
        </w:rPr>
        <w:t xml:space="preserve">o, e dunque fonte di levità e di lietezza. </w:t>
      </w:r>
      <w:r w:rsidRPr="00F816D7" w:rsidR="00F35663">
        <w:rPr>
          <w:rFonts w:ascii="Times New Roman" w:hAnsi="Times New Roman" w:cs="Times New Roman"/>
          <w:sz w:val="28"/>
          <w:szCs w:val="24"/>
        </w:rPr>
        <w:t>Ritengo che ci sia una grande saggezza nella posizione di Nietzsche</w:t>
      </w:r>
      <w:r w:rsidRPr="00F816D7" w:rsidR="00814113">
        <w:rPr>
          <w:rFonts w:ascii="Times New Roman" w:hAnsi="Times New Roman" w:cs="Times New Roman"/>
          <w:sz w:val="28"/>
          <w:szCs w:val="24"/>
        </w:rPr>
        <w:t xml:space="preserve"> e tenderei a porre da questo lato l’oblio gestaltico, contro l’estremizzazione freudiana. Abbiamo bisogno di dimenticare per vivere. E abbiamo bisogno, soprattutto nel dolore, nella lacerazione, della manna del tempo (Marion) per sentire </w:t>
      </w:r>
      <w:r w:rsidRPr="00F816D7" w:rsidR="00814113">
        <w:rPr>
          <w:rFonts w:ascii="Times New Roman" w:hAnsi="Times New Roman" w:cs="Times New Roman"/>
          <w:sz w:val="28"/>
          <w:szCs w:val="24"/>
        </w:rPr>
        <w:lastRenderedPageBreak/>
        <w:t>un lenimento che non è abbandono dell’altro ma evoluzione, elaborazione che riconsegna alla vita magari tristi ma integri, toccati ma vivi. Potremmo leggere in questa chiave anche il rito dantesco di passaggio verso il Paradiso</w:t>
      </w:r>
      <w:r w:rsidRPr="00F816D7" w:rsidR="008C4F81">
        <w:rPr>
          <w:rFonts w:ascii="Times New Roman" w:hAnsi="Times New Roman" w:cs="Times New Roman"/>
          <w:sz w:val="28"/>
          <w:szCs w:val="24"/>
        </w:rPr>
        <w:t xml:space="preserve"> di </w:t>
      </w:r>
      <w:r w:rsidRPr="00F816D7" w:rsidR="008C4F81">
        <w:rPr>
          <w:rFonts w:ascii="Times New Roman" w:hAnsi="Times New Roman" w:cs="Times New Roman"/>
          <w:i/>
          <w:iCs/>
          <w:sz w:val="28"/>
          <w:szCs w:val="24"/>
        </w:rPr>
        <w:t>Pg XXXI</w:t>
      </w:r>
      <w:r w:rsidRPr="00F816D7" w:rsidR="00814113">
        <w:rPr>
          <w:rFonts w:ascii="Times New Roman" w:hAnsi="Times New Roman" w:cs="Times New Roman"/>
          <w:sz w:val="28"/>
          <w:szCs w:val="24"/>
        </w:rPr>
        <w:t>: dimenticare i peccati</w:t>
      </w:r>
      <w:r w:rsidRPr="00F816D7" w:rsidR="008C4F81">
        <w:rPr>
          <w:rFonts w:ascii="Times New Roman" w:hAnsi="Times New Roman" w:cs="Times New Roman"/>
          <w:sz w:val="28"/>
          <w:szCs w:val="24"/>
        </w:rPr>
        <w:t xml:space="preserve"> come </w:t>
      </w:r>
      <w:r w:rsidRPr="00F816D7" w:rsidR="00814113">
        <w:rPr>
          <w:rFonts w:ascii="Times New Roman" w:hAnsi="Times New Roman" w:cs="Times New Roman"/>
          <w:sz w:val="28"/>
          <w:szCs w:val="24"/>
        </w:rPr>
        <w:t xml:space="preserve">liberarsi dal carico </w:t>
      </w:r>
      <w:r w:rsidRPr="00F816D7" w:rsidR="008C4F81">
        <w:rPr>
          <w:rFonts w:ascii="Times New Roman" w:hAnsi="Times New Roman" w:cs="Times New Roman"/>
          <w:sz w:val="28"/>
          <w:szCs w:val="24"/>
        </w:rPr>
        <w:t xml:space="preserve">e dalla fatica dell’essere. </w:t>
      </w:r>
      <w:r w:rsidRPr="00F816D7" w:rsidR="00814113">
        <w:rPr>
          <w:rFonts w:ascii="Times New Roman" w:hAnsi="Times New Roman" w:cs="Times New Roman"/>
          <w:sz w:val="28"/>
          <w:szCs w:val="24"/>
        </w:rPr>
        <w:t xml:space="preserve">Probabilmente </w:t>
      </w:r>
      <w:r w:rsidRPr="00F816D7" w:rsidR="008C4F81">
        <w:rPr>
          <w:rFonts w:ascii="Times New Roman" w:hAnsi="Times New Roman" w:cs="Times New Roman"/>
          <w:sz w:val="28"/>
          <w:szCs w:val="24"/>
        </w:rPr>
        <w:t xml:space="preserve">però, contro </w:t>
      </w:r>
      <w:r w:rsidRPr="00F816D7" w:rsidR="00814113">
        <w:rPr>
          <w:rFonts w:ascii="Times New Roman" w:hAnsi="Times New Roman" w:cs="Times New Roman"/>
          <w:sz w:val="28"/>
          <w:szCs w:val="24"/>
        </w:rPr>
        <w:t xml:space="preserve">questa visione positiva dell’oblio </w:t>
      </w:r>
      <w:r w:rsidRPr="00F816D7" w:rsidR="008C4F81">
        <w:rPr>
          <w:rFonts w:ascii="Times New Roman" w:hAnsi="Times New Roman" w:cs="Times New Roman"/>
          <w:sz w:val="28"/>
          <w:szCs w:val="24"/>
        </w:rPr>
        <w:t xml:space="preserve">ha continuato a pesare </w:t>
      </w:r>
      <w:r w:rsidRPr="00F816D7">
        <w:rPr>
          <w:rFonts w:ascii="Times New Roman" w:hAnsi="Times New Roman" w:cs="Times New Roman"/>
          <w:sz w:val="28"/>
          <w:szCs w:val="24"/>
        </w:rPr>
        <w:t>l’eredità platonica</w:t>
      </w:r>
      <w:r w:rsidRPr="00F816D7" w:rsidR="00814113">
        <w:rPr>
          <w:rFonts w:ascii="Times New Roman" w:hAnsi="Times New Roman" w:cs="Times New Roman"/>
          <w:sz w:val="28"/>
          <w:szCs w:val="24"/>
        </w:rPr>
        <w:t xml:space="preserve">, con tutto il suo </w:t>
      </w:r>
      <w:r w:rsidRPr="00F816D7" w:rsidR="008C4F81">
        <w:rPr>
          <w:rFonts w:ascii="Times New Roman" w:hAnsi="Times New Roman" w:cs="Times New Roman"/>
          <w:sz w:val="28"/>
          <w:szCs w:val="24"/>
        </w:rPr>
        <w:t>portato</w:t>
      </w:r>
      <w:r w:rsidRPr="00F816D7" w:rsidR="00814113">
        <w:rPr>
          <w:rFonts w:ascii="Times New Roman" w:hAnsi="Times New Roman" w:cs="Times New Roman"/>
          <w:sz w:val="28"/>
          <w:szCs w:val="24"/>
        </w:rPr>
        <w:t xml:space="preserve"> drammatico di perdita di contatto con l’origine, </w:t>
      </w:r>
      <w:r w:rsidRPr="00F816D7" w:rsidR="008C4F81">
        <w:rPr>
          <w:rFonts w:ascii="Times New Roman" w:hAnsi="Times New Roman" w:cs="Times New Roman"/>
          <w:sz w:val="28"/>
          <w:szCs w:val="24"/>
        </w:rPr>
        <w:t xml:space="preserve">il suo senso </w:t>
      </w:r>
      <w:r w:rsidRPr="00F816D7" w:rsidR="00814113">
        <w:rPr>
          <w:rFonts w:ascii="Times New Roman" w:hAnsi="Times New Roman" w:cs="Times New Roman"/>
          <w:sz w:val="28"/>
          <w:szCs w:val="24"/>
        </w:rPr>
        <w:t xml:space="preserve">di mancanza </w:t>
      </w:r>
      <w:r w:rsidRPr="00F816D7" w:rsidR="008C4F81">
        <w:rPr>
          <w:rFonts w:ascii="Times New Roman" w:hAnsi="Times New Roman" w:cs="Times New Roman"/>
          <w:sz w:val="28"/>
          <w:szCs w:val="24"/>
        </w:rPr>
        <w:t xml:space="preserve">radicale </w:t>
      </w:r>
      <w:r w:rsidRPr="00F816D7" w:rsidR="00814113">
        <w:rPr>
          <w:rFonts w:ascii="Times New Roman" w:hAnsi="Times New Roman" w:cs="Times New Roman"/>
          <w:sz w:val="28"/>
          <w:szCs w:val="24"/>
        </w:rPr>
        <w:t>e di rammemorazione possibile. Il raggio di luce che squarcia l</w:t>
      </w:r>
      <w:r w:rsidRPr="00F816D7" w:rsidR="008C4F81">
        <w:rPr>
          <w:rFonts w:ascii="Times New Roman" w:hAnsi="Times New Roman" w:cs="Times New Roman"/>
          <w:sz w:val="28"/>
          <w:szCs w:val="24"/>
        </w:rPr>
        <w:t>e</w:t>
      </w:r>
      <w:r w:rsidRPr="00F816D7" w:rsidR="00814113">
        <w:rPr>
          <w:rFonts w:ascii="Times New Roman" w:hAnsi="Times New Roman" w:cs="Times New Roman"/>
          <w:sz w:val="28"/>
          <w:szCs w:val="24"/>
        </w:rPr>
        <w:t xml:space="preserve"> tenebre dell</w:t>
      </w:r>
      <w:r w:rsidRPr="00F816D7" w:rsidR="008C4F81">
        <w:rPr>
          <w:rFonts w:ascii="Times New Roman" w:hAnsi="Times New Roman" w:cs="Times New Roman"/>
          <w:sz w:val="28"/>
          <w:szCs w:val="24"/>
        </w:rPr>
        <w:t xml:space="preserve">a </w:t>
      </w:r>
      <w:r w:rsidRPr="00F816D7" w:rsidR="008C4F81">
        <w:rPr>
          <w:rFonts w:ascii="Times New Roman" w:hAnsi="Times New Roman" w:cs="Times New Roman"/>
          <w:i/>
          <w:iCs/>
          <w:sz w:val="28"/>
          <w:szCs w:val="24"/>
        </w:rPr>
        <w:t>doxa</w:t>
      </w:r>
      <w:r w:rsidRPr="00F816D7" w:rsidR="00814113">
        <w:rPr>
          <w:rFonts w:ascii="Times New Roman" w:hAnsi="Times New Roman" w:cs="Times New Roman"/>
          <w:sz w:val="28"/>
          <w:szCs w:val="24"/>
        </w:rPr>
        <w:t xml:space="preserve">, nella caverna della </w:t>
      </w:r>
      <w:r w:rsidRPr="00F816D7" w:rsidR="00814113">
        <w:rPr>
          <w:rFonts w:ascii="Times New Roman" w:hAnsi="Times New Roman" w:cs="Times New Roman"/>
          <w:i/>
          <w:iCs/>
          <w:sz w:val="28"/>
          <w:szCs w:val="24"/>
        </w:rPr>
        <w:t>Repubblica</w:t>
      </w:r>
      <w:r w:rsidRPr="00F816D7" w:rsidR="00814113">
        <w:rPr>
          <w:rFonts w:ascii="Times New Roman" w:hAnsi="Times New Roman" w:cs="Times New Roman"/>
          <w:sz w:val="28"/>
          <w:szCs w:val="24"/>
        </w:rPr>
        <w:t>, è patrimonio del filosofo. Ma chi sa, chi oltrepassa pur per lampi la barriera dell’oblio e può volgersi verso la luce del Bene già su questa terra, paga la propria sapienza con l’emarginazione e al limite con la vita stessa.</w:t>
      </w:r>
    </w:p>
    <w:p w:rsidRPr="00F816D7" w:rsidR="00D723D8" w:rsidP="001229F3" w:rsidRDefault="00814113" w14:paraId="4EB0FF22" w14:textId="4A87C451">
      <w:pPr>
        <w:rPr>
          <w:rFonts w:ascii="Times New Roman" w:hAnsi="Times New Roman" w:cs="Times New Roman"/>
          <w:sz w:val="28"/>
          <w:szCs w:val="24"/>
        </w:rPr>
      </w:pPr>
      <w:r w:rsidRPr="00F816D7">
        <w:rPr>
          <w:rFonts w:ascii="Times New Roman" w:hAnsi="Times New Roman" w:cs="Times New Roman"/>
          <w:sz w:val="28"/>
          <w:szCs w:val="24"/>
        </w:rPr>
        <w:t>L’oblio insomma ci assedia, ci circonda, ci distanzia dalla verità.</w:t>
      </w:r>
      <w:r w:rsidRPr="00F816D7" w:rsidR="00E31549">
        <w:rPr>
          <w:rFonts w:ascii="Times New Roman" w:hAnsi="Times New Roman" w:cs="Times New Roman"/>
          <w:sz w:val="28"/>
          <w:szCs w:val="24"/>
        </w:rPr>
        <w:t xml:space="preserve"> </w:t>
      </w:r>
      <w:r w:rsidRPr="00F816D7" w:rsidR="008C4F81">
        <w:rPr>
          <w:rFonts w:ascii="Times New Roman" w:hAnsi="Times New Roman" w:cs="Times New Roman"/>
          <w:sz w:val="28"/>
          <w:szCs w:val="24"/>
        </w:rPr>
        <w:t xml:space="preserve">E resta un rischio sempre vivo, quasi un incubo per la grande poesia moderna. L’oblio che “involve” tutte le cose nella sua notte di Foscolo è l’antagonista della poesia capace di vincere il silenzio dei secoli, è la coltre che la storia fa cadere sulle esistenze delle vittime, degli sconfitti, l’avversario del riscatto che il canto può far germogliare sulle macerie della storia (l’angelo di Benjamin non è lontano da qui).  </w:t>
      </w:r>
    </w:p>
    <w:p w:rsidRPr="00F816D7" w:rsidR="002C7A99" w:rsidP="001229F3" w:rsidRDefault="002C7A99" w14:paraId="43913FDB" w14:textId="45C15C79">
      <w:pPr>
        <w:rPr>
          <w:rFonts w:ascii="Times New Roman" w:hAnsi="Times New Roman" w:cs="Times New Roman"/>
          <w:sz w:val="28"/>
          <w:szCs w:val="24"/>
        </w:rPr>
      </w:pPr>
      <w:r w:rsidRPr="00F816D7">
        <w:rPr>
          <w:rFonts w:ascii="Times New Roman" w:hAnsi="Times New Roman" w:cs="Times New Roman"/>
          <w:sz w:val="28"/>
          <w:szCs w:val="24"/>
        </w:rPr>
        <w:t>D’altronde è con l’emergere tutto moderno della soggettività autoriale che lo spettro dell’oblio dovuto a un mancato riconoscimento della propria opera affanna gli scrittori e i poeti, come una minaccia incombente. Basti pensare alle ansie leopardiane o al travaglio di Pirandello prima della fama, con addosso l’ingombro scomodissimo di D’Annunzio. Senza dire che dal punto di vista della fama letteraria l’oblio resta una possibilità sempre aperta e affidata a volte all’azzardo del caso: se non fossero state recuperate a un passo dalla distruzione delle carte le meravigliose poesie di Costantinos Kavafis sarebbero rimaste nell’ombra per sempre. L’oblio ha quindi tanti volti. Può</w:t>
      </w:r>
      <w:r w:rsidR="001229F3">
        <w:rPr>
          <w:rFonts w:ascii="Times New Roman" w:hAnsi="Times New Roman" w:cs="Times New Roman"/>
          <w:sz w:val="28"/>
          <w:szCs w:val="24"/>
        </w:rPr>
        <w:t xml:space="preserve"> essere benefico, auspicabile. O</w:t>
      </w:r>
      <w:r w:rsidRPr="00F816D7">
        <w:rPr>
          <w:rFonts w:ascii="Times New Roman" w:hAnsi="Times New Roman" w:cs="Times New Roman"/>
          <w:sz w:val="28"/>
          <w:szCs w:val="24"/>
        </w:rPr>
        <w:t xml:space="preserve">vvero minaccioso, terribile. Può apparire come un soccorso, un insulto o un caso, sempre in grado di cambiare radicalmente una sorte, un destino. </w:t>
      </w:r>
    </w:p>
    <w:p w:rsidRPr="00F816D7" w:rsidR="002C7A99" w:rsidP="001229F3" w:rsidRDefault="1681868D" w14:paraId="5F23225D" w14:textId="3A578CF1">
      <w:pPr>
        <w:rPr>
          <w:rFonts w:ascii="Times New Roman" w:hAnsi="Times New Roman" w:cs="Times New Roman"/>
          <w:sz w:val="28"/>
          <w:szCs w:val="28"/>
        </w:rPr>
      </w:pPr>
      <w:r w:rsidRPr="1681868D">
        <w:rPr>
          <w:rFonts w:ascii="Times New Roman" w:hAnsi="Times New Roman" w:cs="Times New Roman"/>
          <w:sz w:val="28"/>
          <w:szCs w:val="28"/>
        </w:rPr>
        <w:t xml:space="preserve">Se poi volessimo provare a fare un’incursione nel corpo dei testi letterari per schizzare un profilo del nostro lemma meno generale e (necessariamente) approssimativo, potremmo volgerci alla poesia italiana del Novecento. Sarebbe facile constatare, appoggiandoci al </w:t>
      </w:r>
      <w:r w:rsidRPr="1681868D">
        <w:rPr>
          <w:rFonts w:ascii="Times New Roman" w:hAnsi="Times New Roman" w:cs="Times New Roman"/>
          <w:i/>
          <w:iCs/>
          <w:sz w:val="28"/>
          <w:szCs w:val="28"/>
        </w:rPr>
        <w:t>Vocabolario</w:t>
      </w:r>
      <w:r w:rsidRPr="1681868D">
        <w:rPr>
          <w:rFonts w:ascii="Times New Roman" w:hAnsi="Times New Roman" w:cs="Times New Roman"/>
          <w:sz w:val="28"/>
          <w:szCs w:val="28"/>
        </w:rPr>
        <w:t xml:space="preserve"> di Giuseppe Savoca, come l’oblio abiti con abbondanza nella poesia dei crepuscolari e dei vociani, dopo i quali la sua incidenza diminuisce fino all’estinzione. Non manca però una discreta testimonianza della parola nelle ‘tre corone’ della poesia italiana del Novecento, e cioè in Saba, Ungaretti e Montale. Ed è con un riferimento ai testi degli ultimi due – i lirici maggiori della scrittura poetica contemporanea in Italia – che voglio chiudere e fare i miei auguri ai colleghi e agli amici di «Oblio». Si tratta in particolare di due testi, del tutto lontani da un pessimismo paradigmatico </w:t>
      </w:r>
      <w:r w:rsidRPr="1681868D">
        <w:rPr>
          <w:rFonts w:ascii="Times New Roman" w:hAnsi="Times New Roman" w:cs="Times New Roman"/>
          <w:i/>
          <w:iCs/>
          <w:sz w:val="28"/>
          <w:szCs w:val="28"/>
        </w:rPr>
        <w:t xml:space="preserve">à la </w:t>
      </w:r>
      <w:r w:rsidRPr="1681868D">
        <w:rPr>
          <w:rFonts w:ascii="Times New Roman" w:hAnsi="Times New Roman" w:cs="Times New Roman"/>
          <w:sz w:val="28"/>
          <w:szCs w:val="28"/>
        </w:rPr>
        <w:t xml:space="preserve">Baudelaire, improntati come sono a una fascinosa complessità. </w:t>
      </w:r>
    </w:p>
    <w:p w:rsidRPr="00F816D7" w:rsidR="002C7A99" w:rsidP="00F816D7" w:rsidRDefault="002C7A99" w14:paraId="05A60F7B" w14:textId="61DA136D">
      <w:pPr>
        <w:ind w:firstLine="284"/>
        <w:rPr>
          <w:rFonts w:ascii="Times New Roman" w:hAnsi="Times New Roman" w:cs="Times New Roman"/>
          <w:sz w:val="28"/>
          <w:szCs w:val="24"/>
        </w:rPr>
      </w:pPr>
      <w:r w:rsidRPr="00F816D7">
        <w:rPr>
          <w:rFonts w:ascii="Times New Roman" w:hAnsi="Times New Roman" w:cs="Times New Roman"/>
          <w:sz w:val="28"/>
          <w:szCs w:val="24"/>
        </w:rPr>
        <w:t xml:space="preserve">Il primo è la poesia che Ungaretti, all’inizio del </w:t>
      </w:r>
      <w:r w:rsidRPr="00F816D7">
        <w:rPr>
          <w:rFonts w:ascii="Times New Roman" w:hAnsi="Times New Roman" w:cs="Times New Roman"/>
          <w:i/>
          <w:iCs/>
          <w:sz w:val="28"/>
          <w:szCs w:val="24"/>
        </w:rPr>
        <w:t>Dolore</w:t>
      </w:r>
      <w:r w:rsidRPr="00F816D7">
        <w:rPr>
          <w:rFonts w:ascii="Times New Roman" w:hAnsi="Times New Roman" w:cs="Times New Roman"/>
          <w:sz w:val="28"/>
          <w:szCs w:val="24"/>
        </w:rPr>
        <w:t xml:space="preserve">, dedica al fratello morto, al suo Costantino: </w:t>
      </w:r>
      <w:r w:rsidRPr="00F816D7">
        <w:rPr>
          <w:rFonts w:ascii="Times New Roman" w:hAnsi="Times New Roman" w:cs="Times New Roman"/>
          <w:i/>
          <w:iCs/>
          <w:sz w:val="28"/>
          <w:szCs w:val="24"/>
        </w:rPr>
        <w:t>Se tu mio fratello</w:t>
      </w:r>
      <w:r w:rsidR="001229F3">
        <w:rPr>
          <w:rFonts w:ascii="Times New Roman" w:hAnsi="Times New Roman" w:cs="Times New Roman"/>
          <w:sz w:val="28"/>
          <w:szCs w:val="24"/>
        </w:rPr>
        <w:t>. «</w:t>
      </w:r>
      <w:r w:rsidRPr="00F816D7">
        <w:rPr>
          <w:rFonts w:ascii="Times New Roman" w:hAnsi="Times New Roman" w:cs="Times New Roman"/>
          <w:sz w:val="28"/>
          <w:szCs w:val="24"/>
        </w:rPr>
        <w:t>Se tu mi rivenissi incontro vivo</w:t>
      </w:r>
      <w:r w:rsidRPr="00F816D7" w:rsidR="008B60FC">
        <w:rPr>
          <w:rFonts w:ascii="Times New Roman" w:hAnsi="Times New Roman" w:cs="Times New Roman"/>
          <w:sz w:val="28"/>
          <w:szCs w:val="24"/>
        </w:rPr>
        <w:t xml:space="preserve"> /</w:t>
      </w:r>
      <w:r w:rsidRPr="00F816D7">
        <w:rPr>
          <w:rFonts w:ascii="Times New Roman" w:hAnsi="Times New Roman" w:cs="Times New Roman"/>
          <w:sz w:val="28"/>
          <w:szCs w:val="24"/>
        </w:rPr>
        <w:t xml:space="preserve"> con la mano </w:t>
      </w:r>
      <w:r w:rsidRPr="00F816D7">
        <w:rPr>
          <w:rFonts w:ascii="Times New Roman" w:hAnsi="Times New Roman" w:cs="Times New Roman"/>
          <w:sz w:val="28"/>
          <w:szCs w:val="24"/>
        </w:rPr>
        <w:lastRenderedPageBreak/>
        <w:t>tesa</w:t>
      </w:r>
      <w:r w:rsidRPr="00F816D7" w:rsidR="008B60FC">
        <w:rPr>
          <w:rFonts w:ascii="Times New Roman" w:hAnsi="Times New Roman" w:cs="Times New Roman"/>
          <w:sz w:val="28"/>
          <w:szCs w:val="24"/>
        </w:rPr>
        <w:t xml:space="preserve">, / </w:t>
      </w:r>
      <w:r w:rsidRPr="00F816D7">
        <w:rPr>
          <w:rFonts w:ascii="Times New Roman" w:hAnsi="Times New Roman" w:cs="Times New Roman"/>
          <w:sz w:val="28"/>
          <w:szCs w:val="24"/>
        </w:rPr>
        <w:t>ancora potrei</w:t>
      </w:r>
      <w:r w:rsidRPr="00F816D7" w:rsidR="008B60FC">
        <w:rPr>
          <w:rFonts w:ascii="Times New Roman" w:hAnsi="Times New Roman" w:cs="Times New Roman"/>
          <w:sz w:val="28"/>
          <w:szCs w:val="24"/>
        </w:rPr>
        <w:t>, /</w:t>
      </w:r>
      <w:r w:rsidRPr="00F816D7">
        <w:rPr>
          <w:rFonts w:ascii="Times New Roman" w:hAnsi="Times New Roman" w:cs="Times New Roman"/>
          <w:sz w:val="28"/>
          <w:szCs w:val="24"/>
        </w:rPr>
        <w:t xml:space="preserve"> di nuovo in uno slancio d’oblio</w:t>
      </w:r>
      <w:r w:rsidRPr="00F816D7" w:rsidR="008B60FC">
        <w:rPr>
          <w:rFonts w:ascii="Times New Roman" w:hAnsi="Times New Roman" w:cs="Times New Roman"/>
          <w:sz w:val="28"/>
          <w:szCs w:val="24"/>
        </w:rPr>
        <w:t>,</w:t>
      </w:r>
      <w:r w:rsidRPr="00F816D7">
        <w:rPr>
          <w:rFonts w:ascii="Times New Roman" w:hAnsi="Times New Roman" w:cs="Times New Roman"/>
          <w:sz w:val="28"/>
          <w:szCs w:val="24"/>
        </w:rPr>
        <w:t xml:space="preserve"> stringere</w:t>
      </w:r>
      <w:r w:rsidRPr="00F816D7" w:rsidR="008B60FC">
        <w:rPr>
          <w:rFonts w:ascii="Times New Roman" w:hAnsi="Times New Roman" w:cs="Times New Roman"/>
          <w:sz w:val="28"/>
          <w:szCs w:val="24"/>
        </w:rPr>
        <w:t>,</w:t>
      </w:r>
      <w:r w:rsidRPr="00F816D7">
        <w:rPr>
          <w:rFonts w:ascii="Times New Roman" w:hAnsi="Times New Roman" w:cs="Times New Roman"/>
          <w:sz w:val="28"/>
          <w:szCs w:val="24"/>
        </w:rPr>
        <w:t xml:space="preserve"> </w:t>
      </w:r>
      <w:r w:rsidRPr="00F816D7" w:rsidR="008B60FC">
        <w:rPr>
          <w:rFonts w:ascii="Times New Roman" w:hAnsi="Times New Roman" w:cs="Times New Roman"/>
          <w:sz w:val="28"/>
          <w:szCs w:val="24"/>
        </w:rPr>
        <w:t xml:space="preserve">/ </w:t>
      </w:r>
      <w:r w:rsidRPr="00F816D7">
        <w:rPr>
          <w:rFonts w:ascii="Times New Roman" w:hAnsi="Times New Roman" w:cs="Times New Roman"/>
          <w:sz w:val="28"/>
          <w:szCs w:val="24"/>
        </w:rPr>
        <w:t>fratello</w:t>
      </w:r>
      <w:r w:rsidRPr="00F816D7" w:rsidR="008B60FC">
        <w:rPr>
          <w:rFonts w:ascii="Times New Roman" w:hAnsi="Times New Roman" w:cs="Times New Roman"/>
          <w:sz w:val="28"/>
          <w:szCs w:val="24"/>
        </w:rPr>
        <w:t>,</w:t>
      </w:r>
      <w:r w:rsidR="001229F3">
        <w:rPr>
          <w:rFonts w:ascii="Times New Roman" w:hAnsi="Times New Roman" w:cs="Times New Roman"/>
          <w:sz w:val="28"/>
          <w:szCs w:val="24"/>
        </w:rPr>
        <w:t xml:space="preserve"> una mano»</w:t>
      </w:r>
      <w:r w:rsidRPr="00F816D7">
        <w:rPr>
          <w:rFonts w:ascii="Times New Roman" w:hAnsi="Times New Roman" w:cs="Times New Roman"/>
          <w:sz w:val="28"/>
          <w:szCs w:val="24"/>
        </w:rPr>
        <w:t>. Qui l’oblio è la liberazione dal giogo della morte, l’immediatezza infantile del corpo miracolosamente e follemente rinata contro i barlumi inutili della memoria. Come a dire che il contatto dei corpi, nel suo assorbire le energie vitali, nel suo concentrarle in un istante eterno, mette fuori gioco la memoria e consente l’intensità totalizzante dell’incontro. Non poter vivere quest’oblio felice del contatto è ora il tormento del poeta. Perché non c’è ricordo che possa surrogare il corpo.</w:t>
      </w:r>
    </w:p>
    <w:p w:rsidRPr="00F816D7" w:rsidR="002C7A99" w:rsidP="001229F3" w:rsidRDefault="002C7A99" w14:paraId="35255BE6" w14:textId="6D80AF75">
      <w:pPr>
        <w:rPr>
          <w:rFonts w:ascii="Times New Roman" w:hAnsi="Times New Roman" w:cs="Times New Roman"/>
          <w:sz w:val="28"/>
          <w:szCs w:val="24"/>
        </w:rPr>
      </w:pPr>
      <w:r w:rsidRPr="00F816D7">
        <w:rPr>
          <w:rFonts w:ascii="Times New Roman" w:hAnsi="Times New Roman" w:cs="Times New Roman"/>
          <w:sz w:val="28"/>
          <w:szCs w:val="24"/>
        </w:rPr>
        <w:t xml:space="preserve">Il secondo testo è uno dei più alti del secondo Montale, si intitola </w:t>
      </w:r>
      <w:r w:rsidRPr="00F816D7">
        <w:rPr>
          <w:rFonts w:ascii="Times New Roman" w:hAnsi="Times New Roman" w:cs="Times New Roman"/>
          <w:i/>
          <w:iCs/>
          <w:sz w:val="28"/>
          <w:szCs w:val="24"/>
        </w:rPr>
        <w:t>Ex voto</w:t>
      </w:r>
      <w:r w:rsidRPr="00F816D7">
        <w:rPr>
          <w:rFonts w:ascii="Times New Roman" w:hAnsi="Times New Roman" w:cs="Times New Roman"/>
          <w:sz w:val="28"/>
          <w:szCs w:val="24"/>
        </w:rPr>
        <w:t xml:space="preserve"> ed è contenuto in </w:t>
      </w:r>
      <w:r w:rsidRPr="00F816D7">
        <w:rPr>
          <w:rFonts w:ascii="Times New Roman" w:hAnsi="Times New Roman" w:cs="Times New Roman"/>
          <w:i/>
          <w:iCs/>
          <w:sz w:val="28"/>
          <w:szCs w:val="24"/>
        </w:rPr>
        <w:t>Satura.</w:t>
      </w:r>
      <w:r w:rsidRPr="00F816D7">
        <w:rPr>
          <w:rFonts w:ascii="Times New Roman" w:hAnsi="Times New Roman" w:cs="Times New Roman"/>
          <w:sz w:val="28"/>
          <w:szCs w:val="24"/>
        </w:rPr>
        <w:t xml:space="preserve"> Si tratta di un lungo dialogo col ‘tu’, i cui tratti sembrano convocare i volti e le presenze delle tante figure femminili dell’</w:t>
      </w:r>
      <w:r w:rsidRPr="00F816D7">
        <w:rPr>
          <w:rFonts w:ascii="Times New Roman" w:hAnsi="Times New Roman" w:cs="Times New Roman"/>
          <w:i/>
          <w:iCs/>
          <w:sz w:val="28"/>
          <w:szCs w:val="24"/>
        </w:rPr>
        <w:t xml:space="preserve">Opera in </w:t>
      </w:r>
      <w:r w:rsidRPr="00E60C9D">
        <w:rPr>
          <w:rFonts w:ascii="Times New Roman" w:hAnsi="Times New Roman" w:cs="Times New Roman"/>
          <w:i/>
          <w:iCs/>
          <w:sz w:val="28"/>
          <w:szCs w:val="24"/>
        </w:rPr>
        <w:t>versi</w:t>
      </w:r>
      <w:r w:rsidR="001229F3">
        <w:rPr>
          <w:rFonts w:ascii="Times New Roman" w:hAnsi="Times New Roman" w:cs="Times New Roman"/>
          <w:sz w:val="28"/>
          <w:szCs w:val="24"/>
        </w:rPr>
        <w:t>: «</w:t>
      </w:r>
      <w:r w:rsidRPr="00F816D7" w:rsidR="00E23A9F">
        <w:rPr>
          <w:rFonts w:ascii="Times New Roman" w:hAnsi="Times New Roman" w:cs="Times New Roman"/>
          <w:sz w:val="28"/>
          <w:szCs w:val="24"/>
        </w:rPr>
        <w:t>Può darsi / che sia vera solo la lontananza / vero l’oblio, vera la foglia secca […] / Insisto / nel ricercarti nel fuscello e mai nell’albero / spiegato, mai nel pieno, sempre / nel vuoto: in quella che anche al trapano / resiste” […] / Ignoro / se la mia inesistenza appaga il tuo destino / se la tua colma il mio che ne trabocca / […] Di me, / di te tutto conosco tutto / ignoro</w:t>
      </w:r>
      <w:r w:rsidR="001229F3">
        <w:rPr>
          <w:rFonts w:ascii="Times New Roman" w:hAnsi="Times New Roman" w:cs="Times New Roman"/>
          <w:sz w:val="28"/>
          <w:szCs w:val="24"/>
        </w:rPr>
        <w:t>»</w:t>
      </w:r>
      <w:r w:rsidRPr="00F816D7" w:rsidR="00E23A9F">
        <w:rPr>
          <w:rFonts w:ascii="Times New Roman" w:hAnsi="Times New Roman" w:cs="Times New Roman"/>
          <w:sz w:val="28"/>
          <w:szCs w:val="24"/>
        </w:rPr>
        <w:t xml:space="preserve">. </w:t>
      </w:r>
      <w:r w:rsidRPr="00F816D7">
        <w:rPr>
          <w:rFonts w:ascii="Times New Roman" w:hAnsi="Times New Roman" w:cs="Times New Roman"/>
          <w:sz w:val="28"/>
          <w:szCs w:val="24"/>
        </w:rPr>
        <w:t>Al di là dei tentativi dei critici di mettere assieme i frammenti</w:t>
      </w:r>
      <w:r w:rsidRPr="00F816D7" w:rsidR="008B60FC">
        <w:rPr>
          <w:rFonts w:ascii="Times New Roman" w:hAnsi="Times New Roman" w:cs="Times New Roman"/>
          <w:sz w:val="28"/>
          <w:szCs w:val="24"/>
        </w:rPr>
        <w:t xml:space="preserve"> e </w:t>
      </w:r>
      <w:r w:rsidRPr="00F816D7" w:rsidR="00E23A9F">
        <w:rPr>
          <w:rFonts w:ascii="Times New Roman" w:hAnsi="Times New Roman" w:cs="Times New Roman"/>
          <w:sz w:val="28"/>
          <w:szCs w:val="24"/>
        </w:rPr>
        <w:t xml:space="preserve">scovare </w:t>
      </w:r>
      <w:r w:rsidRPr="00F816D7" w:rsidR="008B60FC">
        <w:rPr>
          <w:rFonts w:ascii="Times New Roman" w:hAnsi="Times New Roman" w:cs="Times New Roman"/>
          <w:sz w:val="28"/>
          <w:szCs w:val="24"/>
        </w:rPr>
        <w:t>i rimandi agli altri componimenti di Montale</w:t>
      </w:r>
      <w:r w:rsidRPr="00F816D7">
        <w:rPr>
          <w:rFonts w:ascii="Times New Roman" w:hAnsi="Times New Roman" w:cs="Times New Roman"/>
          <w:sz w:val="28"/>
          <w:szCs w:val="24"/>
        </w:rPr>
        <w:t xml:space="preserve">, mi limito a notare che tra queste donne certamente occupa un posto non secondario la ‘donna miope’ degli </w:t>
      </w:r>
      <w:r w:rsidRPr="00F816D7">
        <w:rPr>
          <w:rFonts w:ascii="Times New Roman" w:hAnsi="Times New Roman" w:cs="Times New Roman"/>
          <w:i/>
          <w:iCs/>
          <w:sz w:val="28"/>
          <w:szCs w:val="24"/>
        </w:rPr>
        <w:t>Xenia</w:t>
      </w:r>
      <w:r w:rsidRPr="00F816D7">
        <w:rPr>
          <w:rFonts w:ascii="Times New Roman" w:hAnsi="Times New Roman" w:cs="Times New Roman"/>
          <w:sz w:val="28"/>
          <w:szCs w:val="24"/>
        </w:rPr>
        <w:t xml:space="preserve">. Alla semantica di </w:t>
      </w:r>
      <w:r w:rsidR="001229F3">
        <w:rPr>
          <w:rFonts w:ascii="Times New Roman" w:hAnsi="Times New Roman" w:cs="Times New Roman"/>
          <w:sz w:val="28"/>
          <w:szCs w:val="24"/>
        </w:rPr>
        <w:t>questa donna («</w:t>
      </w:r>
      <w:r w:rsidRPr="00F816D7" w:rsidR="008B60FC">
        <w:rPr>
          <w:rFonts w:ascii="Times New Roman" w:hAnsi="Times New Roman" w:cs="Times New Roman"/>
          <w:sz w:val="28"/>
          <w:szCs w:val="24"/>
        </w:rPr>
        <w:t>che chiama</w:t>
      </w:r>
      <w:r w:rsidRPr="00F816D7" w:rsidR="00E23A9F">
        <w:rPr>
          <w:rFonts w:ascii="Times New Roman" w:hAnsi="Times New Roman" w:cs="Times New Roman"/>
          <w:sz w:val="28"/>
          <w:szCs w:val="24"/>
        </w:rPr>
        <w:t>va</w:t>
      </w:r>
      <w:r w:rsidRPr="00F816D7" w:rsidR="008B60FC">
        <w:rPr>
          <w:rFonts w:ascii="Times New Roman" w:hAnsi="Times New Roman" w:cs="Times New Roman"/>
          <w:sz w:val="28"/>
          <w:szCs w:val="24"/>
        </w:rPr>
        <w:t xml:space="preserve">no </w:t>
      </w:r>
      <w:r w:rsidRPr="00F816D7" w:rsidR="00E23A9F">
        <w:rPr>
          <w:rFonts w:ascii="Times New Roman" w:hAnsi="Times New Roman" w:cs="Times New Roman"/>
          <w:sz w:val="28"/>
          <w:szCs w:val="24"/>
        </w:rPr>
        <w:t>m</w:t>
      </w:r>
      <w:r w:rsidRPr="00F816D7" w:rsidR="008B60FC">
        <w:rPr>
          <w:rFonts w:ascii="Times New Roman" w:hAnsi="Times New Roman" w:cs="Times New Roman"/>
          <w:sz w:val="28"/>
          <w:szCs w:val="24"/>
        </w:rPr>
        <w:t xml:space="preserve">osca, </w:t>
      </w:r>
      <w:r w:rsidRPr="00F816D7" w:rsidR="00E23A9F">
        <w:rPr>
          <w:rFonts w:ascii="Times New Roman" w:hAnsi="Times New Roman" w:cs="Times New Roman"/>
          <w:sz w:val="28"/>
          <w:szCs w:val="24"/>
        </w:rPr>
        <w:t xml:space="preserve">/ </w:t>
      </w:r>
      <w:r w:rsidR="001229F3">
        <w:rPr>
          <w:rFonts w:ascii="Times New Roman" w:hAnsi="Times New Roman" w:cs="Times New Roman"/>
          <w:sz w:val="28"/>
          <w:szCs w:val="24"/>
        </w:rPr>
        <w:t>non so perché»</w:t>
      </w:r>
      <w:r w:rsidRPr="00F816D7" w:rsidR="008B60FC">
        <w:rPr>
          <w:rFonts w:ascii="Times New Roman" w:hAnsi="Times New Roman" w:cs="Times New Roman"/>
          <w:sz w:val="28"/>
          <w:szCs w:val="24"/>
        </w:rPr>
        <w:t xml:space="preserve">) </w:t>
      </w:r>
      <w:r w:rsidRPr="00F816D7">
        <w:rPr>
          <w:rFonts w:ascii="Times New Roman" w:hAnsi="Times New Roman" w:cs="Times New Roman"/>
          <w:sz w:val="28"/>
          <w:szCs w:val="24"/>
        </w:rPr>
        <w:t xml:space="preserve">sono da collegare senza dubbio i versi sul vuoto e sul pieno (e sul relativo sapere e non sapere), scaturenti dal mirabile testo di </w:t>
      </w:r>
      <w:r w:rsidRPr="00F816D7">
        <w:rPr>
          <w:rFonts w:ascii="Times New Roman" w:hAnsi="Times New Roman" w:cs="Times New Roman"/>
          <w:i/>
          <w:iCs/>
          <w:sz w:val="28"/>
          <w:szCs w:val="24"/>
        </w:rPr>
        <w:t>Xenia</w:t>
      </w:r>
      <w:r w:rsidRPr="00F816D7">
        <w:rPr>
          <w:rFonts w:ascii="Times New Roman" w:hAnsi="Times New Roman" w:cs="Times New Roman"/>
          <w:sz w:val="28"/>
          <w:szCs w:val="24"/>
        </w:rPr>
        <w:t xml:space="preserve"> I, 14</w:t>
      </w:r>
      <w:r w:rsidRPr="00F816D7" w:rsidR="008B60FC">
        <w:rPr>
          <w:rFonts w:ascii="Times New Roman" w:hAnsi="Times New Roman" w:cs="Times New Roman"/>
          <w:sz w:val="28"/>
          <w:szCs w:val="24"/>
        </w:rPr>
        <w:t xml:space="preserve">: </w:t>
      </w:r>
      <w:r w:rsidR="001229F3">
        <w:rPr>
          <w:rFonts w:ascii="Times New Roman" w:hAnsi="Times New Roman" w:cs="Times New Roman"/>
          <w:sz w:val="28"/>
          <w:szCs w:val="24"/>
        </w:rPr>
        <w:t>«</w:t>
      </w:r>
      <w:r w:rsidRPr="00F816D7">
        <w:rPr>
          <w:rFonts w:ascii="Times New Roman" w:hAnsi="Times New Roman" w:cs="Times New Roman"/>
          <w:sz w:val="28"/>
          <w:szCs w:val="24"/>
        </w:rPr>
        <w:t>Tu sola sapevi che</w:t>
      </w:r>
      <w:r w:rsidRPr="00F816D7" w:rsidR="008B60FC">
        <w:rPr>
          <w:rFonts w:ascii="Times New Roman" w:hAnsi="Times New Roman" w:cs="Times New Roman"/>
          <w:sz w:val="28"/>
          <w:szCs w:val="24"/>
        </w:rPr>
        <w:t xml:space="preserve"> il moto / non è diverso dalla stasi, / che</w:t>
      </w:r>
      <w:r w:rsidRPr="00F816D7">
        <w:rPr>
          <w:rFonts w:ascii="Times New Roman" w:hAnsi="Times New Roman" w:cs="Times New Roman"/>
          <w:sz w:val="28"/>
          <w:szCs w:val="24"/>
        </w:rPr>
        <w:t xml:space="preserve"> il vuoto è il pieno e il sereno </w:t>
      </w:r>
      <w:r w:rsidRPr="00F816D7" w:rsidR="008B60FC">
        <w:rPr>
          <w:rFonts w:ascii="Times New Roman" w:hAnsi="Times New Roman" w:cs="Times New Roman"/>
          <w:sz w:val="28"/>
          <w:szCs w:val="24"/>
        </w:rPr>
        <w:t xml:space="preserve">/ </w:t>
      </w:r>
      <w:r w:rsidR="001229F3">
        <w:rPr>
          <w:rFonts w:ascii="Times New Roman" w:hAnsi="Times New Roman" w:cs="Times New Roman"/>
          <w:sz w:val="28"/>
          <w:szCs w:val="24"/>
        </w:rPr>
        <w:t>è la più diffusa delle nubi»</w:t>
      </w:r>
      <w:r w:rsidRPr="00F816D7">
        <w:rPr>
          <w:rFonts w:ascii="Times New Roman" w:hAnsi="Times New Roman" w:cs="Times New Roman"/>
          <w:sz w:val="28"/>
          <w:szCs w:val="24"/>
        </w:rPr>
        <w:t xml:space="preserve">. Viene chiamata in causa qui una sapienza diversa, nella quale il vuoto e la mancanza sono la realtà, non in un’accezione negativa ma come </w:t>
      </w:r>
      <w:r w:rsidRPr="00F816D7">
        <w:rPr>
          <w:rFonts w:ascii="Times New Roman" w:hAnsi="Times New Roman" w:cs="Times New Roman"/>
          <w:i/>
          <w:iCs/>
          <w:sz w:val="28"/>
          <w:szCs w:val="24"/>
        </w:rPr>
        <w:t>facies</w:t>
      </w:r>
      <w:r w:rsidRPr="00F816D7">
        <w:rPr>
          <w:rFonts w:ascii="Times New Roman" w:hAnsi="Times New Roman" w:cs="Times New Roman"/>
          <w:sz w:val="28"/>
          <w:szCs w:val="24"/>
        </w:rPr>
        <w:t xml:space="preserve"> nascosta e autentica della pienezza. La ricerca del poeta </w:t>
      </w:r>
      <w:r w:rsidRPr="00F816D7" w:rsidR="00E23A9F">
        <w:rPr>
          <w:rFonts w:ascii="Times New Roman" w:hAnsi="Times New Roman" w:cs="Times New Roman"/>
          <w:sz w:val="28"/>
          <w:szCs w:val="24"/>
        </w:rPr>
        <w:t>–</w:t>
      </w:r>
      <w:r w:rsidRPr="00F816D7">
        <w:rPr>
          <w:rFonts w:ascii="Times New Roman" w:hAnsi="Times New Roman" w:cs="Times New Roman"/>
          <w:sz w:val="28"/>
          <w:szCs w:val="24"/>
        </w:rPr>
        <w:t xml:space="preserve"> la ricerca di lei, che è la ricerca dell’oltre, del senso inattingibile </w:t>
      </w:r>
      <w:r w:rsidRPr="00F816D7" w:rsidR="00E23A9F">
        <w:rPr>
          <w:rFonts w:ascii="Times New Roman" w:hAnsi="Times New Roman" w:cs="Times New Roman"/>
          <w:sz w:val="28"/>
          <w:szCs w:val="24"/>
        </w:rPr>
        <w:t>–</w:t>
      </w:r>
      <w:r w:rsidRPr="00F816D7">
        <w:rPr>
          <w:rFonts w:ascii="Times New Roman" w:hAnsi="Times New Roman" w:cs="Times New Roman"/>
          <w:sz w:val="28"/>
          <w:szCs w:val="24"/>
        </w:rPr>
        <w:t xml:space="preserve"> deve allora volgersi al trascurabile, al residuale, all’impercettibile, per poter consistere, secondo la sapienza nascosta dell’assenza. Una tale posizione non configura però un primato conoscitivo, una pretesa di pur diverso padroneggiamento. Il conoscere e l’ignorare, il sapere e l’oblio si allineano alla fine d</w:t>
      </w:r>
      <w:r w:rsidRPr="00F816D7" w:rsidR="00E23A9F">
        <w:rPr>
          <w:rFonts w:ascii="Times New Roman" w:hAnsi="Times New Roman" w:cs="Times New Roman"/>
          <w:sz w:val="28"/>
          <w:szCs w:val="24"/>
        </w:rPr>
        <w:t xml:space="preserve">i </w:t>
      </w:r>
      <w:r w:rsidRPr="00F816D7" w:rsidR="00E23A9F">
        <w:rPr>
          <w:rFonts w:ascii="Times New Roman" w:hAnsi="Times New Roman" w:cs="Times New Roman"/>
          <w:i/>
          <w:iCs/>
          <w:sz w:val="28"/>
          <w:szCs w:val="24"/>
        </w:rPr>
        <w:t>Ex voto</w:t>
      </w:r>
      <w:r w:rsidRPr="00F816D7">
        <w:rPr>
          <w:rFonts w:ascii="Times New Roman" w:hAnsi="Times New Roman" w:cs="Times New Roman"/>
          <w:sz w:val="28"/>
          <w:szCs w:val="24"/>
        </w:rPr>
        <w:t xml:space="preserve"> come professione ultima di uno scacco felice, di un non sapere quale risvolto di una conoscenza che lascia spazio al mistero dell’altro e della vita.</w:t>
      </w:r>
    </w:p>
    <w:sectPr w:rsidRPr="00F816D7" w:rsidR="002C7A99" w:rsidSect="00F816D7">
      <w:headerReference w:type="default" r:id="rId7"/>
      <w:footerReference w:type="default" r:id="rId8"/>
      <w:pgSz w:w="11906" w:h="16838" w:orient="portrait"/>
      <w:pgMar w:top="1701" w:right="1134" w:bottom="1418"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40812" w:rsidP="00F816D7" w:rsidRDefault="00D40812" w14:paraId="6A1838E3" w14:textId="77777777">
      <w:r>
        <w:separator/>
      </w:r>
    </w:p>
  </w:endnote>
  <w:endnote w:type="continuationSeparator" w:id="0">
    <w:p w:rsidR="00D40812" w:rsidP="00F816D7" w:rsidRDefault="00D40812" w14:paraId="6A5A52DF"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notTrueType/>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10"/>
      <w:gridCol w:w="3210"/>
      <w:gridCol w:w="3210"/>
    </w:tblGrid>
    <w:tr w:rsidR="65BA6238" w:rsidTr="65BA6238" w14:paraId="1EABC24E" w14:textId="77777777">
      <w:trPr>
        <w:trHeight w:val="300"/>
      </w:trPr>
      <w:tc>
        <w:tcPr>
          <w:tcW w:w="3210" w:type="dxa"/>
        </w:tcPr>
        <w:p w:rsidR="65BA6238" w:rsidP="65BA6238" w:rsidRDefault="65BA6238" w14:paraId="10DFA6F3" w14:textId="5A7378A8">
          <w:pPr>
            <w:pStyle w:val="Intestazione"/>
            <w:ind w:left="-115"/>
          </w:pPr>
        </w:p>
      </w:tc>
      <w:tc>
        <w:tcPr>
          <w:tcW w:w="3210" w:type="dxa"/>
        </w:tcPr>
        <w:p w:rsidR="65BA6238" w:rsidP="65BA6238" w:rsidRDefault="65BA6238" w14:paraId="412E9349" w14:textId="0C3658E6">
          <w:pPr>
            <w:pStyle w:val="Intestazione"/>
            <w:jc w:val="center"/>
          </w:pPr>
        </w:p>
      </w:tc>
      <w:tc>
        <w:tcPr>
          <w:tcW w:w="3210" w:type="dxa"/>
        </w:tcPr>
        <w:p w:rsidR="65BA6238" w:rsidP="65BA6238" w:rsidRDefault="65BA6238" w14:paraId="02D687B9" w14:textId="7D17615A">
          <w:pPr>
            <w:pStyle w:val="Intestazione"/>
            <w:ind w:right="-115"/>
            <w:jc w:val="right"/>
          </w:pPr>
        </w:p>
      </w:tc>
    </w:tr>
  </w:tbl>
  <w:p w:rsidR="65BA6238" w:rsidP="65BA6238" w:rsidRDefault="65BA6238" w14:paraId="6CA14B06" w14:textId="5C55DD2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40812" w:rsidP="00F816D7" w:rsidRDefault="00D40812" w14:paraId="5E3778DE" w14:textId="77777777">
      <w:r>
        <w:separator/>
      </w:r>
    </w:p>
  </w:footnote>
  <w:footnote w:type="continuationSeparator" w:id="0">
    <w:p w:rsidR="00D40812" w:rsidP="00F816D7" w:rsidRDefault="00D40812" w14:paraId="47DB9232"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D414A1" w:rsidR="00F816D7" w:rsidP="65BA6238" w:rsidRDefault="00F816D7" w14:paraId="4946CE80" w14:textId="77777777">
    <w:pPr>
      <w:tabs>
        <w:tab w:val="center" w:pos="4819"/>
        <w:tab w:val="right" w:pos="9638"/>
      </w:tabs>
      <w:jc w:val="center"/>
      <w:rPr>
        <w:rFonts w:ascii="Cambria" w:hAnsi="Cambria" w:eastAsia="MS Mincho" w:cs="Times New Roman"/>
        <w:color w:val="595959"/>
        <w:kern w:val="0"/>
        <w:sz w:val="20"/>
        <w:szCs w:val="20"/>
        <w14:ligatures w14:val="none"/>
      </w:rPr>
    </w:pPr>
    <w:r w:rsidRPr="00D414A1">
      <w:rPr>
        <w:rFonts w:ascii="Times New Roman" w:hAnsi="Times New Roman" w:eastAsia="MS Mincho" w:cs="Times New Roman"/>
        <w:color w:val="FF0000"/>
        <w:kern w:val="0"/>
        <w:sz w:val="36"/>
        <w:szCs w:val="36"/>
        <w14:ligatures w14:val="none"/>
      </w:rPr>
      <w:t>o</w:t>
    </w:r>
    <w:r w:rsidRPr="00D414A1">
      <w:rPr>
        <w:rFonts w:ascii="Times New Roman" w:hAnsi="Times New Roman" w:eastAsia="MS Mincho" w:cs="Times New Roman"/>
        <w:color w:val="FF0000"/>
        <w:kern w:val="0"/>
        <w:sz w:val="40"/>
        <w:szCs w:val="40"/>
        <w14:ligatures w14:val="none"/>
      </w:rPr>
      <w:t>b</w:t>
    </w:r>
    <w:r w:rsidRPr="00D414A1">
      <w:rPr>
        <w:rFonts w:ascii="Times New Roman" w:hAnsi="Times New Roman" w:eastAsia="MS Mincho" w:cs="Times New Roman"/>
        <w:color w:val="FF0000"/>
        <w:kern w:val="0"/>
        <w:sz w:val="50"/>
        <w:szCs w:val="50"/>
        <w14:ligatures w14:val="none"/>
      </w:rPr>
      <w:t>l</w:t>
    </w:r>
    <w:r w:rsidRPr="00D414A1">
      <w:rPr>
        <w:rFonts w:ascii="Times New Roman" w:hAnsi="Times New Roman" w:eastAsia="MS Mincho" w:cs="Times New Roman"/>
        <w:color w:val="FF0000"/>
        <w:kern w:val="0"/>
        <w:sz w:val="40"/>
        <w:szCs w:val="40"/>
        <w14:ligatures w14:val="none"/>
      </w:rPr>
      <w:t>i</w:t>
    </w:r>
    <w:r w:rsidRPr="00D414A1">
      <w:rPr>
        <w:rFonts w:ascii="Times New Roman" w:hAnsi="Times New Roman" w:eastAsia="MS Mincho" w:cs="Times New Roman"/>
        <w:color w:val="FF0000"/>
        <w:kern w:val="0"/>
        <w:sz w:val="36"/>
        <w:szCs w:val="36"/>
        <w14:ligatures w14:val="none"/>
      </w:rPr>
      <w:t xml:space="preserve">o </w:t>
    </w:r>
    <w:r>
      <w:rPr>
        <w:rFonts w:ascii="Times New Roman" w:hAnsi="Times New Roman" w:eastAsia="MS Mincho" w:cs="Times New Roman"/>
        <w:color w:val="008000"/>
        <w:kern w:val="0"/>
        <w:sz w:val="36"/>
        <w:szCs w:val="36"/>
        <w14:ligatures w14:val="none"/>
      </w:rPr>
      <w:t>50</w:t>
    </w:r>
    <w:r w:rsidRPr="00D414A1">
      <w:rPr>
        <w:rFonts w:ascii="Times New Roman" w:hAnsi="Times New Roman" w:eastAsia="MS Mincho" w:cs="Times New Roman"/>
        <w:color w:val="008000"/>
        <w:kern w:val="0"/>
        <w:sz w:val="36"/>
        <w:szCs w:val="36"/>
        <w14:ligatures w14:val="none"/>
      </w:rPr>
      <w:tab/>
    </w:r>
    <w:r w:rsidRPr="00D414A1">
      <w:rPr>
        <w:rFonts w:ascii="Times New Roman" w:hAnsi="Times New Roman" w:eastAsia="MS Mincho" w:cs="Times New Roman"/>
        <w:color w:val="008000"/>
        <w:kern w:val="0"/>
        <w:sz w:val="36"/>
        <w:szCs w:val="36"/>
        <w14:ligatures w14:val="none"/>
      </w:rPr>
      <w:tab/>
    </w:r>
    <w:r w:rsidRPr="00D414A1">
      <w:rPr>
        <w:rFonts w:ascii="Times New Roman" w:hAnsi="Times New Roman" w:eastAsia="MS Mincho" w:cs="Times New Roman"/>
        <w:smallCaps/>
        <w:color w:val="1D1B11"/>
        <w:kern w:val="0"/>
        <w:sz w:val="20"/>
        <w:szCs w:val="20"/>
        <w14:ligatures w14:val="none"/>
      </w:rPr>
      <w:t>xiv</w:t>
    </w:r>
    <w:r w:rsidRPr="00D414A1">
      <w:rPr>
        <w:rFonts w:ascii="Times New Roman" w:hAnsi="Times New Roman" w:eastAsia="MS Mincho" w:cs="Times New Roman"/>
        <w:color w:val="1D1B11"/>
        <w:kern w:val="0"/>
        <w:sz w:val="20"/>
        <w:szCs w:val="20"/>
        <w14:ligatures w14:val="none"/>
      </w:rPr>
      <w:t>,</w:t>
    </w:r>
    <w:r w:rsidRPr="65BA6238">
      <w:rPr>
        <w:rFonts w:ascii="Times New Roman" w:hAnsi="Times New Roman" w:eastAsia="MS Mincho" w:cs="Times New Roman"/>
        <w:color w:val="1D1B11"/>
        <w:kern w:val="0"/>
        <w14:ligatures w14:val="none"/>
      </w:rPr>
      <w:t xml:space="preserve"> </w:t>
    </w:r>
    <w:r>
      <w:rPr>
        <w:rFonts w:ascii="Times New Roman" w:hAnsi="Times New Roman" w:eastAsia="MS Mincho" w:cs="Times New Roman"/>
        <w:color w:val="1D1B11"/>
        <w:kern w:val="0"/>
        <w:sz w:val="20"/>
        <w:szCs w:val="20"/>
        <w14:ligatures w14:val="none"/>
      </w:rPr>
      <w:t xml:space="preserve">dicembre </w:t>
    </w:r>
    <w:r w:rsidRPr="00D414A1">
      <w:rPr>
        <w:rFonts w:ascii="Times New Roman" w:hAnsi="Times New Roman" w:eastAsia="MS Mincho" w:cs="Times New Roman"/>
        <w:smallCaps/>
        <w:color w:val="1D1B11"/>
        <w:kern w:val="0"/>
        <w:sz w:val="18"/>
        <w:szCs w:val="18"/>
        <w14:ligatures w14:val="none"/>
      </w:rPr>
      <w:t>20</w:t>
    </w:r>
    <w:r w:rsidRPr="00D414A1">
      <w:rPr>
        <w:rFonts w:ascii="Times New Roman" w:hAnsi="Times New Roman" w:eastAsia="MS Mincho" w:cs="Times New Roman"/>
        <w:color w:val="1D1B11"/>
        <w:kern w:val="0"/>
        <w:sz w:val="18"/>
        <w:szCs w:val="18"/>
        <w14:ligatures w14:val="none"/>
      </w:rPr>
      <w:t>2</w:t>
    </w:r>
    <w:r>
      <w:rPr>
        <w:rFonts w:ascii="Times New Roman" w:hAnsi="Times New Roman" w:eastAsia="MS Mincho" w:cs="Times New Roman"/>
        <w:color w:val="1D1B11"/>
        <w:kern w:val="0"/>
        <w:sz w:val="18"/>
        <w:szCs w:val="18"/>
        <w14:ligatures w14:val="none"/>
      </w:rPr>
      <w:t>4</w:t>
    </w:r>
    <w:r w:rsidRPr="00D414A1">
      <w:rPr>
        <w:rFonts w:ascii="Times New Roman" w:hAnsi="Times New Roman" w:eastAsia="MS Mincho" w:cs="Times New Roman"/>
        <w:color w:val="1D1B11"/>
        <w:kern w:val="0"/>
        <w:sz w:val="18"/>
        <w:szCs w:val="18"/>
        <w14:ligatures w14:val="none"/>
      </w:rPr>
      <w:t xml:space="preserve"> </w:t>
    </w:r>
    <w:r w:rsidRPr="65BA6238">
      <w:rPr>
        <w:rFonts w:ascii="Times New Roman" w:hAnsi="Times New Roman" w:eastAsia="MS Mincho" w:cs="Times New Roman"/>
        <w:color w:val="FF0000"/>
        <w:kern w:val="0"/>
        <w14:ligatures w14:val="none"/>
      </w:rPr>
      <w:t>|</w:t>
    </w:r>
    <w:r w:rsidRPr="00D414A1">
      <w:rPr>
        <w:rFonts w:ascii="Times New Roman" w:hAnsi="Times New Roman" w:eastAsia="MS Mincho" w:cs="Times New Roman"/>
        <w:color w:val="1D1B11"/>
        <w:kern w:val="0"/>
        <w:sz w:val="24"/>
        <w:szCs w:val="24"/>
        <w14:ligatures w14:val="none"/>
      </w:rPr>
      <w:t xml:space="preserve"> </w:t>
    </w:r>
    <w:r w:rsidRPr="00D414A1">
      <w:rPr>
        <w:rFonts w:ascii="Times New Roman" w:hAnsi="Times New Roman" w:eastAsia="MS Mincho" w:cs="Times New Roman"/>
        <w:smallCaps/>
        <w:color w:val="1D1B11"/>
        <w:kern w:val="0"/>
        <w:sz w:val="20"/>
        <w:szCs w:val="20"/>
        <w14:ligatures w14:val="none"/>
      </w:rPr>
      <w:t>issn</w:t>
    </w:r>
    <w:r w:rsidRPr="00D414A1">
      <w:rPr>
        <w:rFonts w:ascii="Times New Roman" w:hAnsi="Times New Roman" w:eastAsia="MS Mincho" w:cs="Times New Roman"/>
        <w:color w:val="1D1B11"/>
        <w:kern w:val="0"/>
        <w:sz w:val="18"/>
        <w:szCs w:val="18"/>
        <w14:ligatures w14:val="none"/>
      </w:rPr>
      <w:t xml:space="preserve"> 2039-7917</w:t>
    </w:r>
  </w:p>
  <w:p w:rsidR="00F816D7" w:rsidRDefault="00F816D7" w14:paraId="2991A213" w14:textId="2672B1E7">
    <w:pPr>
      <w:pStyle w:val="Intestazione"/>
    </w:pPr>
  </w:p>
  <w:p w:rsidR="00F816D7" w:rsidRDefault="00F816D7" w14:paraId="315E40F8" w14:textId="77777777">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trackRevisions w:val="false"/>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AC8"/>
    <w:rsid w:val="001122AD"/>
    <w:rsid w:val="001229F3"/>
    <w:rsid w:val="001462F6"/>
    <w:rsid w:val="001F4768"/>
    <w:rsid w:val="00290A12"/>
    <w:rsid w:val="002C7A99"/>
    <w:rsid w:val="00367977"/>
    <w:rsid w:val="003C5572"/>
    <w:rsid w:val="003C5917"/>
    <w:rsid w:val="003D04D6"/>
    <w:rsid w:val="003E2AF1"/>
    <w:rsid w:val="004E0A12"/>
    <w:rsid w:val="00543DCF"/>
    <w:rsid w:val="00560CE5"/>
    <w:rsid w:val="006336D6"/>
    <w:rsid w:val="0070705F"/>
    <w:rsid w:val="00734EC4"/>
    <w:rsid w:val="00814113"/>
    <w:rsid w:val="008B60FC"/>
    <w:rsid w:val="008C4F81"/>
    <w:rsid w:val="00A14B53"/>
    <w:rsid w:val="00A77FE1"/>
    <w:rsid w:val="00C22B3C"/>
    <w:rsid w:val="00C34ED8"/>
    <w:rsid w:val="00C40033"/>
    <w:rsid w:val="00C9507B"/>
    <w:rsid w:val="00D40812"/>
    <w:rsid w:val="00D723D8"/>
    <w:rsid w:val="00DA0B94"/>
    <w:rsid w:val="00E14617"/>
    <w:rsid w:val="00E23A9F"/>
    <w:rsid w:val="00E31549"/>
    <w:rsid w:val="00E60C9D"/>
    <w:rsid w:val="00ED78DB"/>
    <w:rsid w:val="00EF60DF"/>
    <w:rsid w:val="00F35663"/>
    <w:rsid w:val="00F816D7"/>
    <w:rsid w:val="00FA6AC8"/>
    <w:rsid w:val="1681868D"/>
    <w:rsid w:val="65BA6238"/>
    <w:rsid w:val="70EE495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761D3D"/>
  <w15:chartTrackingRefBased/>
  <w15:docId w15:val="{F2956B47-7389-1B44-9ADD-A15B86CC7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EastAsia" w:cstheme="minorBidi"/>
        <w:kern w:val="2"/>
        <w:sz w:val="22"/>
        <w:szCs w:val="22"/>
        <w:lang w:val="it-IT" w:eastAsia="it-IT"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e" w:default="1">
    <w:name w:val="Normal"/>
    <w:qFormat/>
  </w:style>
  <w:style w:type="character" w:styleId="Carpredefinitoparagrafo" w:default="1">
    <w:name w:val="Default Paragraph Font"/>
    <w:uiPriority w:val="1"/>
    <w:semiHidden/>
    <w:unhideWhenUsed/>
  </w:style>
  <w:style w:type="table" w:styleId="Tabellanormale" w:default="1">
    <w:name w:val="Normal Table"/>
    <w:uiPriority w:val="99"/>
    <w:semiHidden/>
    <w:unhideWhenUsed/>
    <w:tblPr>
      <w:tblInd w:w="0" w:type="dxa"/>
      <w:tblCellMar>
        <w:top w:w="0" w:type="dxa"/>
        <w:left w:w="108" w:type="dxa"/>
        <w:bottom w:w="0" w:type="dxa"/>
        <w:right w:w="108" w:type="dxa"/>
      </w:tblCellMar>
    </w:tblPr>
  </w:style>
  <w:style w:type="numbering" w:styleId="Nessunelenco" w:default="1">
    <w:name w:val="No List"/>
    <w:uiPriority w:val="99"/>
    <w:semiHidden/>
    <w:unhideWhenUsed/>
  </w:style>
  <w:style w:type="paragraph" w:styleId="Intestazione">
    <w:name w:val="header"/>
    <w:basedOn w:val="Normale"/>
    <w:link w:val="IntestazioneCarattere"/>
    <w:uiPriority w:val="99"/>
    <w:unhideWhenUsed/>
    <w:rsid w:val="00F816D7"/>
    <w:pPr>
      <w:tabs>
        <w:tab w:val="center" w:pos="4819"/>
        <w:tab w:val="right" w:pos="9638"/>
      </w:tabs>
    </w:pPr>
  </w:style>
  <w:style w:type="character" w:styleId="IntestazioneCarattere" w:customStyle="1">
    <w:name w:val="Intestazione Carattere"/>
    <w:basedOn w:val="Carpredefinitoparagrafo"/>
    <w:link w:val="Intestazione"/>
    <w:uiPriority w:val="99"/>
    <w:rsid w:val="00F816D7"/>
  </w:style>
  <w:style w:type="paragraph" w:styleId="Pidipagina">
    <w:name w:val="footer"/>
    <w:basedOn w:val="Normale"/>
    <w:link w:val="PidipaginaCarattere"/>
    <w:uiPriority w:val="99"/>
    <w:unhideWhenUsed/>
    <w:rsid w:val="00F816D7"/>
    <w:pPr>
      <w:tabs>
        <w:tab w:val="center" w:pos="4819"/>
        <w:tab w:val="right" w:pos="9638"/>
      </w:tabs>
    </w:pPr>
  </w:style>
  <w:style w:type="character" w:styleId="PidipaginaCarattere" w:customStyle="1">
    <w:name w:val="Piè di pagina Carattere"/>
    <w:basedOn w:val="Carpredefinitoparagrafo"/>
    <w:link w:val="Pidipagina"/>
    <w:uiPriority w:val="99"/>
    <w:rsid w:val="00F816D7"/>
  </w:style>
  <w:style w:type="table" w:styleId="Grigliatabella">
    <w:name w:val="Table Grid"/>
    <w:basedOn w:val="Tabellanormale"/>
    <w:uiPriority w:val="59"/>
    <w:rsid w:val="00FB4123"/>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6113887">
      <w:bodyDiv w:val="1"/>
      <w:marLeft w:val="0"/>
      <w:marRight w:val="0"/>
      <w:marTop w:val="0"/>
      <w:marBottom w:val="0"/>
      <w:divBdr>
        <w:top w:val="none" w:sz="0" w:space="0" w:color="auto"/>
        <w:left w:val="none" w:sz="0" w:space="0" w:color="auto"/>
        <w:bottom w:val="none" w:sz="0" w:space="0" w:color="auto"/>
        <w:right w:val="none" w:sz="0" w:space="0" w:color="auto"/>
      </w:divBdr>
    </w:div>
    <w:div w:id="2031099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styles" Target="styles.xml" Id="rId2" /><Relationship Type="http://schemas.openxmlformats.org/officeDocument/2006/relationships/customXml" Target="../customXml/item1.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C93055-24B6-4B8B-BB4A-502B9CAA584E}">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Antonino Sichera</dc:creator>
  <keywords/>
  <dc:description/>
  <lastModifiedBy>redazione OBLIO</lastModifiedBy>
  <revision>4</revision>
  <dcterms:created xsi:type="dcterms:W3CDTF">2024-11-09T10:45:00.0000000Z</dcterms:created>
  <dcterms:modified xsi:type="dcterms:W3CDTF">2024-11-12T15:30:06.3739712Z</dcterms:modified>
</coreProperties>
</file>